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C" w:rsidRPr="003B6FD6" w:rsidRDefault="0003664F" w:rsidP="003B6FD6">
      <w:pPr>
        <w:pStyle w:val="Tytu"/>
        <w:spacing w:before="360" w:after="360" w:line="360" w:lineRule="exact"/>
      </w:pPr>
      <w:bookmarkStart w:id="0" w:name="_Toc300864604"/>
      <w:r w:rsidRPr="003B6FD6">
        <w:t>Bilet sieciowy</w:t>
      </w:r>
      <w:r w:rsidR="00775A2C" w:rsidRPr="003B6FD6">
        <w:t xml:space="preserve"> </w:t>
      </w:r>
      <w:r w:rsidR="00346028" w:rsidRPr="003B6FD6">
        <w:t>imienn</w:t>
      </w:r>
      <w:r w:rsidRPr="003B6FD6">
        <w:t>y</w:t>
      </w:r>
      <w:r w:rsidR="00346028" w:rsidRPr="003B6FD6">
        <w:t xml:space="preserve"> </w:t>
      </w:r>
      <w:r w:rsidRPr="003B6FD6">
        <w:t>dobowy</w:t>
      </w:r>
    </w:p>
    <w:p w:rsidR="00775A2C" w:rsidRPr="003B6FD6" w:rsidRDefault="00775A2C" w:rsidP="003B6FD6">
      <w:pPr>
        <w:pStyle w:val="Nagwek1"/>
      </w:pPr>
      <w:r w:rsidRPr="003B6FD6">
        <w:t>1. Uprawnieni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Bilet według taryfy normalnej może nabyć każda osoba.</w:t>
      </w:r>
    </w:p>
    <w:p w:rsidR="00775A2C" w:rsidRPr="00775A2C" w:rsidRDefault="00775A2C" w:rsidP="00264EEB">
      <w:pPr>
        <w:pStyle w:val="Nagwek1"/>
      </w:pPr>
      <w:r w:rsidRPr="00775A2C">
        <w:t>2. Zakres ważności</w:t>
      </w:r>
    </w:p>
    <w:p w:rsidR="00264EEB" w:rsidRDefault="00775A2C" w:rsidP="00264EEB">
      <w:pPr>
        <w:autoSpaceDE w:val="0"/>
        <w:autoSpaceDN w:val="0"/>
        <w:adjustRightInd w:val="0"/>
        <w:spacing w:after="12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 xml:space="preserve">1) bilet sieciowy imienny </w:t>
      </w:r>
      <w:r w:rsidR="00346028">
        <w:rPr>
          <w:rFonts w:ascii="Arial" w:hAnsi="Arial" w:cs="Arial"/>
          <w:sz w:val="24"/>
          <w:szCs w:val="24"/>
        </w:rPr>
        <w:t xml:space="preserve">dobowy </w:t>
      </w:r>
      <w:r w:rsidRPr="00775A2C">
        <w:rPr>
          <w:rFonts w:ascii="Arial" w:hAnsi="Arial" w:cs="Arial"/>
          <w:sz w:val="24"/>
          <w:szCs w:val="24"/>
        </w:rPr>
        <w:t>uprawnia do nieograniczonej liczby przej</w:t>
      </w:r>
      <w:r>
        <w:rPr>
          <w:rFonts w:ascii="Arial" w:hAnsi="Arial" w:cs="Arial"/>
          <w:sz w:val="24"/>
          <w:szCs w:val="24"/>
        </w:rPr>
        <w:t xml:space="preserve">azdów </w:t>
      </w:r>
      <w:r w:rsidR="003B6F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pociągach uruchamianych </w:t>
      </w:r>
      <w:r w:rsidRPr="00775A2C">
        <w:rPr>
          <w:rFonts w:ascii="Arial" w:hAnsi="Arial" w:cs="Arial"/>
          <w:sz w:val="24"/>
          <w:szCs w:val="24"/>
        </w:rPr>
        <w:t>przez przewoźnika, przewidzianych w rozkładzie jazdy</w:t>
      </w:r>
      <w:r w:rsidR="00264EEB">
        <w:rPr>
          <w:rFonts w:ascii="Arial" w:hAnsi="Arial" w:cs="Arial"/>
          <w:sz w:val="24"/>
          <w:szCs w:val="24"/>
        </w:rPr>
        <w:t xml:space="preserve"> KŚ</w:t>
      </w:r>
      <w:r w:rsidRPr="00775A2C">
        <w:rPr>
          <w:rFonts w:ascii="Arial" w:hAnsi="Arial" w:cs="Arial"/>
          <w:sz w:val="24"/>
          <w:szCs w:val="24"/>
        </w:rPr>
        <w:t xml:space="preserve">, </w:t>
      </w:r>
    </w:p>
    <w:p w:rsidR="00775A2C" w:rsidRPr="00775A2C" w:rsidRDefault="00775A2C" w:rsidP="00264EEB">
      <w:pPr>
        <w:autoSpaceDE w:val="0"/>
        <w:autoSpaceDN w:val="0"/>
        <w:adjustRightInd w:val="0"/>
        <w:spacing w:after="12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 xml:space="preserve">2) </w:t>
      </w:r>
      <w:r w:rsidR="00346028">
        <w:rPr>
          <w:rFonts w:ascii="Arial" w:hAnsi="Arial" w:cs="Arial"/>
          <w:sz w:val="24"/>
          <w:szCs w:val="24"/>
        </w:rPr>
        <w:t xml:space="preserve">bilety </w:t>
      </w:r>
      <w:r w:rsidRPr="00775A2C">
        <w:rPr>
          <w:rFonts w:ascii="Arial" w:hAnsi="Arial" w:cs="Arial"/>
          <w:sz w:val="24"/>
          <w:szCs w:val="24"/>
        </w:rPr>
        <w:t>dobowe</w:t>
      </w:r>
      <w:r w:rsidR="00346028">
        <w:rPr>
          <w:rFonts w:ascii="Arial" w:hAnsi="Arial" w:cs="Arial"/>
          <w:sz w:val="24"/>
          <w:szCs w:val="24"/>
        </w:rPr>
        <w:t xml:space="preserve"> ważne są</w:t>
      </w:r>
      <w:r w:rsidRPr="00775A2C">
        <w:rPr>
          <w:rFonts w:ascii="Arial" w:hAnsi="Arial" w:cs="Arial"/>
          <w:sz w:val="24"/>
          <w:szCs w:val="24"/>
        </w:rPr>
        <w:t xml:space="preserve"> – na okres 24 godzin – licząc od określonej na bilecie godziny zakupu lub wskazanej</w:t>
      </w:r>
      <w:r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przez nabywcę,</w:t>
      </w:r>
    </w:p>
    <w:p w:rsidR="00775A2C" w:rsidRPr="00775A2C" w:rsidRDefault="00775A2C" w:rsidP="00264EEB">
      <w:pPr>
        <w:autoSpaceDE w:val="0"/>
        <w:autoSpaceDN w:val="0"/>
        <w:adjustRightInd w:val="0"/>
        <w:spacing w:after="12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3) bilet uprawnia do nieograniczonej liczby przejazdów, w p</w:t>
      </w:r>
      <w:r>
        <w:rPr>
          <w:rFonts w:ascii="Arial" w:hAnsi="Arial" w:cs="Arial"/>
          <w:sz w:val="24"/>
          <w:szCs w:val="24"/>
        </w:rPr>
        <w:t xml:space="preserve">ociągach i terminie ważności na </w:t>
      </w:r>
      <w:r w:rsidR="0003664F">
        <w:rPr>
          <w:rFonts w:ascii="Arial" w:hAnsi="Arial" w:cs="Arial"/>
          <w:sz w:val="24"/>
          <w:szCs w:val="24"/>
        </w:rPr>
        <w:t>nim wskazanym,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4) termin przedsprzedaży wynosi 7 dni.</w:t>
      </w:r>
    </w:p>
    <w:p w:rsidR="00775A2C" w:rsidRPr="00775A2C" w:rsidRDefault="00775A2C" w:rsidP="00264EEB">
      <w:pPr>
        <w:pStyle w:val="Nagwek1"/>
      </w:pPr>
      <w:r w:rsidRPr="00775A2C">
        <w:t>3. Warunki stosowania</w:t>
      </w:r>
    </w:p>
    <w:p w:rsidR="00775A2C" w:rsidRPr="00775A2C" w:rsidRDefault="00775A2C" w:rsidP="00264EEB">
      <w:pPr>
        <w:autoSpaceDE w:val="0"/>
        <w:autoSpaceDN w:val="0"/>
        <w:adjustRightInd w:val="0"/>
        <w:spacing w:after="12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1) przed ro</w:t>
      </w:r>
      <w:r w:rsidR="00264EEB">
        <w:rPr>
          <w:rFonts w:ascii="Arial" w:hAnsi="Arial" w:cs="Arial"/>
          <w:sz w:val="24"/>
          <w:szCs w:val="24"/>
        </w:rPr>
        <w:t>zpoczęciem pierwszego przejazdu</w:t>
      </w:r>
      <w:r w:rsidRPr="00775A2C">
        <w:rPr>
          <w:rFonts w:ascii="Arial" w:hAnsi="Arial" w:cs="Arial"/>
          <w:sz w:val="24"/>
          <w:szCs w:val="24"/>
        </w:rPr>
        <w:t xml:space="preserve"> albo niezwłocznie po nabyciu biletu </w:t>
      </w:r>
      <w:r w:rsidR="003B6FD6">
        <w:rPr>
          <w:rFonts w:ascii="Arial" w:hAnsi="Arial" w:cs="Arial"/>
          <w:sz w:val="24"/>
          <w:szCs w:val="24"/>
        </w:rPr>
        <w:br/>
      </w:r>
      <w:r w:rsidRPr="00775A2C">
        <w:rPr>
          <w:rFonts w:ascii="Arial" w:hAnsi="Arial" w:cs="Arial"/>
          <w:sz w:val="24"/>
          <w:szCs w:val="24"/>
        </w:rPr>
        <w:t>właściciel biletu zobowiązany jest wpisać czytelnie w sposób trwały (w miejscu przeznaczonym</w:t>
      </w:r>
      <w:r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na bilecie), swoje imię i nazwisko oraz numer dokumentu ze zdjęciem stwierdzającego</w:t>
      </w:r>
      <w:r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jego tożsamość. Do przejazdów na podstawie biletu sieciowego imiennego</w:t>
      </w:r>
      <w:r w:rsidR="00346028">
        <w:rPr>
          <w:rFonts w:ascii="Arial" w:hAnsi="Arial" w:cs="Arial"/>
          <w:sz w:val="24"/>
          <w:szCs w:val="24"/>
        </w:rPr>
        <w:t xml:space="preserve"> dobowego </w:t>
      </w:r>
      <w:r w:rsidRPr="00775A2C">
        <w:rPr>
          <w:rFonts w:ascii="Arial" w:hAnsi="Arial" w:cs="Arial"/>
          <w:sz w:val="24"/>
          <w:szCs w:val="24"/>
        </w:rPr>
        <w:t>uprawniona jest</w:t>
      </w:r>
      <w:r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tylko ta osoba, której dane zostały na nim zamieszczone. Bilet ważny jest łącznie z dokumentem</w:t>
      </w:r>
      <w:r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stwierdzającym tożsamość. Bilet bez wpisania danych, o których mowa wyżej, jest</w:t>
      </w:r>
      <w:r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nieważny,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2) jeżeli podczas kontroli podróżny oświadczy, że: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ind w:left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a) posiada bilet sieciowy imienny, ale nie okaże go w pociągu,</w:t>
      </w:r>
    </w:p>
    <w:p w:rsidR="0012130D" w:rsidRDefault="00775A2C" w:rsidP="00DB50E8">
      <w:pPr>
        <w:autoSpaceDE w:val="0"/>
        <w:autoSpaceDN w:val="0"/>
        <w:adjustRightInd w:val="0"/>
        <w:spacing w:after="0" w:line="360" w:lineRule="exact"/>
        <w:ind w:left="567" w:hanging="283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b) okaże bilet sieciowy imienny, ale nie okaże dokume</w:t>
      </w:r>
      <w:r w:rsidR="00346028">
        <w:rPr>
          <w:rFonts w:ascii="Arial" w:hAnsi="Arial" w:cs="Arial"/>
          <w:sz w:val="24"/>
          <w:szCs w:val="24"/>
        </w:rPr>
        <w:t xml:space="preserve">ntu potwierdzającego </w:t>
      </w:r>
      <w:bookmarkStart w:id="1" w:name="_GoBack"/>
      <w:bookmarkEnd w:id="1"/>
      <w:r w:rsidR="00346028">
        <w:rPr>
          <w:rFonts w:ascii="Arial" w:hAnsi="Arial" w:cs="Arial"/>
          <w:sz w:val="24"/>
          <w:szCs w:val="24"/>
        </w:rPr>
        <w:t xml:space="preserve">tożsamość, </w:t>
      </w:r>
    </w:p>
    <w:p w:rsidR="00775A2C" w:rsidRPr="00775A2C" w:rsidRDefault="00775A2C" w:rsidP="00DB50E8">
      <w:pPr>
        <w:autoSpaceDE w:val="0"/>
        <w:autoSpaceDN w:val="0"/>
        <w:adjustRightInd w:val="0"/>
        <w:spacing w:after="0" w:line="360" w:lineRule="exact"/>
        <w:ind w:left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wówczas zwrot (umorzenie) zapłaconych w pociągu (wykazanych w wezwaniu do zapłaty)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opłat taryfowych i opłaty dodatkowej – po potrąceniu (uiszczeniu) opłaty manipulacyjnej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 xml:space="preserve">– może uzyskać w drodze reklamacji, na warunkach określonych </w:t>
      </w:r>
      <w:r w:rsidR="00264EEB">
        <w:rPr>
          <w:rFonts w:ascii="Arial" w:hAnsi="Arial" w:cs="Arial"/>
          <w:sz w:val="24"/>
          <w:szCs w:val="24"/>
        </w:rPr>
        <w:br/>
      </w:r>
      <w:r w:rsidRPr="00775A2C">
        <w:rPr>
          <w:rFonts w:ascii="Arial" w:hAnsi="Arial" w:cs="Arial"/>
          <w:sz w:val="24"/>
          <w:szCs w:val="24"/>
        </w:rPr>
        <w:t>w Regulaminie,</w:t>
      </w:r>
    </w:p>
    <w:p w:rsidR="00775A2C" w:rsidRPr="00775A2C" w:rsidRDefault="00775A2C" w:rsidP="00264EEB">
      <w:pPr>
        <w:autoSpaceDE w:val="0"/>
        <w:autoSpaceDN w:val="0"/>
        <w:adjustRightInd w:val="0"/>
        <w:spacing w:after="12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lastRenderedPageBreak/>
        <w:t>3) w razie stwierdzenia podczas kontroli, że z biletu korzysta osoba inna niż na nim wskazana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KŚ uznaje bilet za nieważny, a osobę tę traktuje jak podróżnego bez ważnego biletu,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4) zwrot całkowicie niewykorzystanego biletu sieciowego imiennego</w:t>
      </w:r>
      <w:r w:rsidR="00346028">
        <w:rPr>
          <w:rFonts w:ascii="Arial" w:hAnsi="Arial" w:cs="Arial"/>
          <w:sz w:val="24"/>
          <w:szCs w:val="24"/>
        </w:rPr>
        <w:t xml:space="preserve"> dobowego</w:t>
      </w:r>
      <w:r w:rsidRPr="00775A2C">
        <w:rPr>
          <w:rFonts w:ascii="Arial" w:hAnsi="Arial" w:cs="Arial"/>
          <w:sz w:val="24"/>
          <w:szCs w:val="24"/>
        </w:rPr>
        <w:t xml:space="preserve"> może nastąpić na dowolnej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stacji (przystanku) dokonującej sprzedaży tych biletów: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ind w:left="567" w:hanging="283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 xml:space="preserve">– </w:t>
      </w:r>
      <w:r w:rsidR="00346028">
        <w:rPr>
          <w:rFonts w:ascii="Arial" w:hAnsi="Arial" w:cs="Arial"/>
          <w:sz w:val="24"/>
          <w:szCs w:val="24"/>
        </w:rPr>
        <w:tab/>
      </w:r>
      <w:r w:rsidRPr="00775A2C">
        <w:rPr>
          <w:rFonts w:ascii="Arial" w:hAnsi="Arial" w:cs="Arial"/>
          <w:sz w:val="24"/>
          <w:szCs w:val="24"/>
        </w:rPr>
        <w:t>przed rozpoczęciem terminu ważności,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ind w:left="567" w:hanging="283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 xml:space="preserve">– po rozpoczęciu terminu ważności, jednak nie później niż przed upływem </w:t>
      </w:r>
      <w:r w:rsidR="0023321E">
        <w:rPr>
          <w:rFonts w:ascii="Arial" w:hAnsi="Arial" w:cs="Arial"/>
          <w:sz w:val="24"/>
          <w:szCs w:val="24"/>
        </w:rPr>
        <w:br/>
      </w:r>
      <w:r w:rsidRPr="00775A2C">
        <w:rPr>
          <w:rFonts w:ascii="Arial" w:hAnsi="Arial" w:cs="Arial"/>
          <w:sz w:val="24"/>
          <w:szCs w:val="24"/>
        </w:rPr>
        <w:t>30 minut,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licząc od godziny rozpoczęcia ważności oznaczonej na bilecie,</w:t>
      </w:r>
    </w:p>
    <w:p w:rsidR="00775A2C" w:rsidRPr="00775A2C" w:rsidRDefault="00775A2C" w:rsidP="00264EEB">
      <w:pPr>
        <w:autoSpaceDE w:val="0"/>
        <w:autoSpaceDN w:val="0"/>
        <w:adjustRightInd w:val="0"/>
        <w:spacing w:after="120" w:line="360" w:lineRule="exact"/>
        <w:ind w:left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po potrąceniu 10% odstępnego, z zastrzeżeniem postanowień § 1</w:t>
      </w:r>
      <w:r w:rsidR="00264EEB">
        <w:rPr>
          <w:rFonts w:ascii="Arial" w:hAnsi="Arial" w:cs="Arial"/>
          <w:sz w:val="24"/>
          <w:szCs w:val="24"/>
        </w:rPr>
        <w:t>3 ust. 10</w:t>
      </w:r>
      <w:r w:rsidRPr="00775A2C">
        <w:rPr>
          <w:rFonts w:ascii="Arial" w:hAnsi="Arial" w:cs="Arial"/>
          <w:sz w:val="24"/>
          <w:szCs w:val="24"/>
        </w:rPr>
        <w:t xml:space="preserve"> </w:t>
      </w:r>
      <w:r w:rsidR="0023321E">
        <w:rPr>
          <w:rFonts w:ascii="Arial" w:hAnsi="Arial" w:cs="Arial"/>
          <w:sz w:val="24"/>
          <w:szCs w:val="24"/>
        </w:rPr>
        <w:br/>
      </w:r>
      <w:r w:rsidRPr="00775A2C">
        <w:rPr>
          <w:rFonts w:ascii="Arial" w:hAnsi="Arial" w:cs="Arial"/>
          <w:sz w:val="24"/>
          <w:szCs w:val="24"/>
        </w:rPr>
        <w:t>RPO-KŚ,</w:t>
      </w:r>
    </w:p>
    <w:p w:rsidR="00775A2C" w:rsidRPr="00775A2C" w:rsidRDefault="00775A2C" w:rsidP="00264EEB">
      <w:pPr>
        <w:autoSpaceDE w:val="0"/>
        <w:autoSpaceDN w:val="0"/>
        <w:adjustRightInd w:val="0"/>
        <w:spacing w:after="12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5) właścicielowi biletu nie przysługuje częściowy zwrot zapłaconej należności w razie przerwy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w ruchu lub utraty połączenia, przewidzianego w rozkładzie jazdy,</w:t>
      </w:r>
    </w:p>
    <w:p w:rsidR="00775A2C" w:rsidRPr="00775A2C" w:rsidRDefault="00775A2C" w:rsidP="00264EEB">
      <w:pPr>
        <w:autoSpaceDE w:val="0"/>
        <w:autoSpaceDN w:val="0"/>
        <w:adjustRightInd w:val="0"/>
        <w:spacing w:after="120" w:line="360" w:lineRule="exact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6) foliowanie biletu oraz przedłużenie terminu jego ważności, nie są dozwolone,</w:t>
      </w:r>
    </w:p>
    <w:p w:rsidR="00775A2C" w:rsidRPr="00775A2C" w:rsidRDefault="00775A2C" w:rsidP="00264EEB">
      <w:pPr>
        <w:autoSpaceDE w:val="0"/>
        <w:autoSpaceDN w:val="0"/>
        <w:adjustRightInd w:val="0"/>
        <w:spacing w:after="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7) za dokument przewozu zniszczony w stopniu uniemożliwiającym odczytanie danych (tj. któregokolwiek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zapisu lub zabezpieczenia, czy też podarty i sklejony), zafoliowany, zagubiony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 xml:space="preserve">lub skradziony, KŚ nie zwraca zapłaconych należności </w:t>
      </w:r>
      <w:r w:rsidR="0023321E">
        <w:rPr>
          <w:rFonts w:ascii="Arial" w:hAnsi="Arial" w:cs="Arial"/>
          <w:sz w:val="24"/>
          <w:szCs w:val="24"/>
        </w:rPr>
        <w:br/>
      </w:r>
      <w:r w:rsidRPr="00775A2C">
        <w:rPr>
          <w:rFonts w:ascii="Arial" w:hAnsi="Arial" w:cs="Arial"/>
          <w:sz w:val="24"/>
          <w:szCs w:val="24"/>
        </w:rPr>
        <w:t>i nie wydaje duplikatów, także w przypadku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wskazania daty i miejsca zakupu, numeru dokumentu oraz zgłoszenia straty do organów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ścigania.</w:t>
      </w:r>
    </w:p>
    <w:p w:rsidR="00775A2C" w:rsidRPr="00775A2C" w:rsidRDefault="00775A2C" w:rsidP="00264EEB">
      <w:pPr>
        <w:pStyle w:val="Nagwek1"/>
      </w:pPr>
      <w:r w:rsidRPr="00775A2C">
        <w:t>4. Zmiana umowy przewozu</w:t>
      </w:r>
    </w:p>
    <w:p w:rsidR="0023321E" w:rsidRDefault="00775A2C" w:rsidP="00264EEB">
      <w:pPr>
        <w:autoSpaceDE w:val="0"/>
        <w:autoSpaceDN w:val="0"/>
        <w:adjustRightInd w:val="0"/>
        <w:spacing w:after="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1) wymiana biletu zakupionego w przedsprzedaży, na bilet sieciowy tego samego rodzaju, wyłącznie</w:t>
      </w:r>
      <w:r w:rsidR="0023321E">
        <w:rPr>
          <w:rFonts w:ascii="Arial" w:hAnsi="Arial" w:cs="Arial"/>
          <w:sz w:val="24"/>
          <w:szCs w:val="24"/>
        </w:rPr>
        <w:t xml:space="preserve"> </w:t>
      </w:r>
      <w:r w:rsidRPr="00775A2C">
        <w:rPr>
          <w:rFonts w:ascii="Arial" w:hAnsi="Arial" w:cs="Arial"/>
          <w:sz w:val="24"/>
          <w:szCs w:val="24"/>
        </w:rPr>
        <w:t>w zakresie terminu ważności - jest dozwolona,</w:t>
      </w:r>
    </w:p>
    <w:p w:rsidR="00775A2C" w:rsidRDefault="00775A2C" w:rsidP="00264EEB">
      <w:pPr>
        <w:autoSpaceDE w:val="0"/>
        <w:autoSpaceDN w:val="0"/>
        <w:adjustRightInd w:val="0"/>
        <w:spacing w:after="0" w:line="360" w:lineRule="exact"/>
        <w:ind w:left="284" w:hanging="284"/>
        <w:rPr>
          <w:rFonts w:ascii="Arial" w:hAnsi="Arial" w:cs="Arial"/>
          <w:sz w:val="24"/>
          <w:szCs w:val="24"/>
        </w:rPr>
      </w:pPr>
      <w:r w:rsidRPr="00775A2C">
        <w:rPr>
          <w:rFonts w:ascii="Arial" w:hAnsi="Arial" w:cs="Arial"/>
          <w:sz w:val="24"/>
          <w:szCs w:val="24"/>
        </w:rPr>
        <w:t>2) przejście do pociągu innego przewoźnika – nie jest dozwolone.</w:t>
      </w:r>
    </w:p>
    <w:p w:rsidR="00346028" w:rsidRDefault="00346028" w:rsidP="00264EEB">
      <w:pPr>
        <w:autoSpaceDE w:val="0"/>
        <w:autoSpaceDN w:val="0"/>
        <w:adjustRightInd w:val="0"/>
        <w:spacing w:after="0" w:line="360" w:lineRule="exact"/>
        <w:ind w:left="284" w:hanging="284"/>
        <w:rPr>
          <w:rFonts w:ascii="Arial" w:hAnsi="Arial" w:cs="Arial"/>
          <w:sz w:val="24"/>
          <w:szCs w:val="24"/>
        </w:rPr>
      </w:pPr>
    </w:p>
    <w:p w:rsidR="00346028" w:rsidRDefault="00346028" w:rsidP="00264EEB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Koleje Śląskie w swojej ofercie posiadają także bilety sieciowe imienne miesięczne </w:t>
      </w:r>
      <w:r w:rsidR="00264EE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bilety sieci</w:t>
      </w:r>
      <w:r w:rsidR="00264EEB">
        <w:rPr>
          <w:rFonts w:ascii="Arial" w:hAnsi="Arial" w:cs="Arial"/>
          <w:sz w:val="24"/>
          <w:szCs w:val="24"/>
        </w:rPr>
        <w:t>owe bezimienne roczne</w:t>
      </w:r>
      <w:r>
        <w:rPr>
          <w:rFonts w:ascii="Arial" w:hAnsi="Arial" w:cs="Arial"/>
          <w:sz w:val="24"/>
          <w:szCs w:val="24"/>
        </w:rPr>
        <w:t xml:space="preserve"> i miesięczne.</w:t>
      </w:r>
    </w:p>
    <w:bookmarkEnd w:id="0"/>
    <w:p w:rsidR="0023321E" w:rsidRPr="00775A2C" w:rsidRDefault="0023321E" w:rsidP="002332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sectPr w:rsidR="0023321E" w:rsidRPr="00775A2C" w:rsidSect="003913D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AF" w:rsidRDefault="008F5BAF" w:rsidP="0023321E">
      <w:pPr>
        <w:spacing w:after="0" w:line="240" w:lineRule="auto"/>
      </w:pPr>
      <w:r>
        <w:separator/>
      </w:r>
    </w:p>
  </w:endnote>
  <w:endnote w:type="continuationSeparator" w:id="0">
    <w:p w:rsidR="008F5BAF" w:rsidRDefault="008F5BAF" w:rsidP="0023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AF" w:rsidRDefault="008F5BAF" w:rsidP="0023321E">
      <w:pPr>
        <w:spacing w:after="0" w:line="240" w:lineRule="auto"/>
      </w:pPr>
      <w:r>
        <w:separator/>
      </w:r>
    </w:p>
  </w:footnote>
  <w:footnote w:type="continuationSeparator" w:id="0">
    <w:p w:rsidR="008F5BAF" w:rsidRDefault="008F5BAF" w:rsidP="0023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1E" w:rsidRDefault="0023321E">
    <w:pPr>
      <w:pStyle w:val="Nagwek"/>
    </w:pPr>
    <w:r w:rsidRPr="005023D1">
      <w:rPr>
        <w:rFonts w:ascii="Arial" w:eastAsia="Calibri" w:hAnsi="Arial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52A1BD36" wp14:editId="21E49776">
          <wp:simplePos x="0" y="0"/>
          <wp:positionH relativeFrom="column">
            <wp:posOffset>-147320</wp:posOffset>
          </wp:positionH>
          <wp:positionV relativeFrom="paragraph">
            <wp:posOffset>-210820</wp:posOffset>
          </wp:positionV>
          <wp:extent cx="2305050" cy="2616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61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D5"/>
    <w:rsid w:val="0003664F"/>
    <w:rsid w:val="0012130D"/>
    <w:rsid w:val="00174A23"/>
    <w:rsid w:val="001C4518"/>
    <w:rsid w:val="0023321E"/>
    <w:rsid w:val="0023744E"/>
    <w:rsid w:val="00253599"/>
    <w:rsid w:val="00264EEB"/>
    <w:rsid w:val="00346028"/>
    <w:rsid w:val="003913D5"/>
    <w:rsid w:val="003B6FD6"/>
    <w:rsid w:val="005009D0"/>
    <w:rsid w:val="00775A2C"/>
    <w:rsid w:val="008F5BAF"/>
    <w:rsid w:val="0092089C"/>
    <w:rsid w:val="00963EFC"/>
    <w:rsid w:val="009B4331"/>
    <w:rsid w:val="00A84A38"/>
    <w:rsid w:val="00C83B87"/>
    <w:rsid w:val="00CE260B"/>
    <w:rsid w:val="00DB50E8"/>
    <w:rsid w:val="00F179B0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FD6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6FD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B6FD6"/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1E"/>
  </w:style>
  <w:style w:type="paragraph" w:styleId="Stopka">
    <w:name w:val="footer"/>
    <w:basedOn w:val="Normalny"/>
    <w:link w:val="StopkaZnak"/>
    <w:uiPriority w:val="99"/>
    <w:unhideWhenUsed/>
    <w:rsid w:val="0023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1E"/>
  </w:style>
  <w:style w:type="character" w:customStyle="1" w:styleId="Nagwek1Znak">
    <w:name w:val="Nagłówek 1 Znak"/>
    <w:basedOn w:val="Domylnaczcionkaakapitu"/>
    <w:link w:val="Nagwek1"/>
    <w:uiPriority w:val="9"/>
    <w:rsid w:val="003B6FD6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FD6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6FD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B6FD6"/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1E"/>
  </w:style>
  <w:style w:type="paragraph" w:styleId="Stopka">
    <w:name w:val="footer"/>
    <w:basedOn w:val="Normalny"/>
    <w:link w:val="StopkaZnak"/>
    <w:uiPriority w:val="99"/>
    <w:unhideWhenUsed/>
    <w:rsid w:val="0023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1E"/>
  </w:style>
  <w:style w:type="character" w:customStyle="1" w:styleId="Nagwek1Znak">
    <w:name w:val="Nagłówek 1 Znak"/>
    <w:basedOn w:val="Domylnaczcionkaakapitu"/>
    <w:link w:val="Nagwek1"/>
    <w:uiPriority w:val="9"/>
    <w:rsid w:val="003B6FD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Bąk Ewa</cp:lastModifiedBy>
  <cp:revision>8</cp:revision>
  <cp:lastPrinted>2016-06-29T16:29:00Z</cp:lastPrinted>
  <dcterms:created xsi:type="dcterms:W3CDTF">2016-06-29T11:52:00Z</dcterms:created>
  <dcterms:modified xsi:type="dcterms:W3CDTF">2016-06-29T16:30:00Z</dcterms:modified>
</cp:coreProperties>
</file>