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E" w:rsidRPr="00706F5E" w:rsidRDefault="00706F5E" w:rsidP="00706F5E">
      <w:pPr>
        <w:pStyle w:val="Tytu"/>
        <w:spacing w:before="360" w:after="360" w:line="360" w:lineRule="exact"/>
      </w:pPr>
      <w:r w:rsidRPr="00706F5E">
        <w:t>OFERTA SPECJALNA bilet „RODZINNY”</w:t>
      </w:r>
    </w:p>
    <w:p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:rsidR="00706F5E" w:rsidRDefault="00706F5E" w:rsidP="00706F5E">
      <w:pPr>
        <w:widowControl w:val="0"/>
        <w:suppressAutoHyphens/>
        <w:spacing w:before="120" w:after="120" w:line="360" w:lineRule="exact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Od 2 do 6 osób, w tym co najwyżej dwie osoby dorosłe i co najmniej jedno dziecko do ukończenia 16 roku życia, podróżujących wspólnie w tej samej relacji.</w:t>
      </w:r>
    </w:p>
    <w:p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:rsidR="00706F5E" w:rsidRDefault="00706F5E" w:rsidP="00706F5E">
      <w:pPr>
        <w:widowControl w:val="0"/>
        <w:numPr>
          <w:ilvl w:val="1"/>
          <w:numId w:val="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Ulgę stosuje się przy przejazdach we wszystkich pociągach KŚ, przewidzianych w rozkładzie jazdy. </w:t>
      </w:r>
    </w:p>
    <w:p w:rsidR="00706F5E" w:rsidRDefault="00706F5E" w:rsidP="00706F5E">
      <w:pPr>
        <w:widowControl w:val="0"/>
        <w:numPr>
          <w:ilvl w:val="1"/>
          <w:numId w:val="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Osoby wymienione w </w:t>
      </w:r>
      <w:r>
        <w:rPr>
          <w:rFonts w:eastAsia="SimSun" w:cs="Arial"/>
          <w:kern w:val="2"/>
          <w:szCs w:val="24"/>
          <w:lang w:eastAsia="hi-IN" w:bidi="hi-IN"/>
        </w:rPr>
        <w:t>§</w:t>
      </w:r>
      <w:r>
        <w:rPr>
          <w:rFonts w:eastAsia="SimSun" w:cs="Mangal"/>
          <w:kern w:val="2"/>
          <w:szCs w:val="24"/>
          <w:lang w:eastAsia="hi-IN" w:bidi="hi-IN"/>
        </w:rPr>
        <w:t xml:space="preserve"> 1, podróżujące razem, mogą nabyć jednorazowy bilet </w:t>
      </w:r>
      <w:r w:rsidR="009C4E59">
        <w:rPr>
          <w:rFonts w:eastAsia="SimSun" w:cs="Mangal"/>
          <w:kern w:val="2"/>
          <w:szCs w:val="24"/>
          <w:lang w:eastAsia="hi-IN" w:bidi="hi-IN"/>
        </w:rPr>
        <w:br/>
      </w:r>
      <w:r>
        <w:rPr>
          <w:rFonts w:eastAsia="SimSun" w:cs="Mangal"/>
          <w:kern w:val="2"/>
          <w:szCs w:val="24"/>
          <w:lang w:eastAsia="hi-IN" w:bidi="hi-IN"/>
        </w:rPr>
        <w:t>z ulgą handlową 30%, na przejazd w jedną stronę lub „tam i z powrotem</w:t>
      </w:r>
      <w:r>
        <w:rPr>
          <w:rFonts w:eastAsia="Calibri" w:cs="Arial"/>
          <w:szCs w:val="24"/>
        </w:rPr>
        <w:t>.</w:t>
      </w:r>
    </w:p>
    <w:p w:rsidR="00706F5E" w:rsidRDefault="00706F5E" w:rsidP="00706F5E">
      <w:pPr>
        <w:widowControl w:val="0"/>
        <w:numPr>
          <w:ilvl w:val="1"/>
          <w:numId w:val="6"/>
        </w:numPr>
        <w:suppressAutoHyphens/>
        <w:spacing w:before="120" w:after="120" w:line="360" w:lineRule="exact"/>
        <w:ind w:left="357" w:hanging="357"/>
        <w:rPr>
          <w:rFonts w:eastAsia="SimSun" w:cs="Mangal"/>
          <w:strike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Dzieci do ukończenia 16 roku życia korzystają z: </w:t>
      </w:r>
    </w:p>
    <w:p w:rsidR="00706F5E" w:rsidRDefault="00706F5E" w:rsidP="00706F5E">
      <w:pPr>
        <w:widowControl w:val="0"/>
        <w:numPr>
          <w:ilvl w:val="2"/>
          <w:numId w:val="6"/>
        </w:numPr>
        <w:suppressAutoHyphens/>
        <w:spacing w:before="120" w:after="120" w:line="360" w:lineRule="exact"/>
        <w:ind w:left="1077" w:hanging="357"/>
        <w:rPr>
          <w:rFonts w:eastAsia="SimSun" w:cs="Mangal"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>indywidualnych uprawnień do ulg ustawowych lub</w:t>
      </w:r>
    </w:p>
    <w:p w:rsidR="00706F5E" w:rsidRDefault="00706F5E" w:rsidP="00706F5E">
      <w:pPr>
        <w:widowControl w:val="0"/>
        <w:numPr>
          <w:ilvl w:val="2"/>
          <w:numId w:val="6"/>
        </w:numPr>
        <w:suppressAutoHyphens/>
        <w:spacing w:before="120" w:after="120" w:line="360" w:lineRule="exact"/>
        <w:ind w:left="1077" w:hanging="357"/>
        <w:rPr>
          <w:rFonts w:eastAsia="SimSun" w:cs="Mangal"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ulgi handlowej 30% na podstawie dokumentu stwierdzającego wiek </w:t>
      </w:r>
      <w:r w:rsidR="009C4E59">
        <w:rPr>
          <w:rFonts w:eastAsia="SimSun" w:cs="Mangal"/>
          <w:color w:val="000000"/>
          <w:kern w:val="2"/>
          <w:szCs w:val="24"/>
          <w:lang w:eastAsia="hi-IN" w:bidi="hi-IN"/>
        </w:rPr>
        <w:br/>
      </w: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(w przypadku, o którym mowa w </w:t>
      </w:r>
      <w:r>
        <w:rPr>
          <w:rFonts w:eastAsia="SimSun" w:cs="Arial"/>
          <w:color w:val="000000"/>
          <w:kern w:val="2"/>
          <w:szCs w:val="24"/>
          <w:lang w:eastAsia="hi-IN" w:bidi="hi-IN"/>
        </w:rPr>
        <w:t>§</w:t>
      </w: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 3 ust. 2).</w:t>
      </w:r>
    </w:p>
    <w:p w:rsidR="00706F5E" w:rsidRDefault="00706F5E" w:rsidP="00706F5E">
      <w:pPr>
        <w:widowControl w:val="0"/>
        <w:numPr>
          <w:ilvl w:val="1"/>
          <w:numId w:val="6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Termin ważności biletu „RODZINNEGO” określa </w:t>
      </w:r>
      <w:r>
        <w:rPr>
          <w:rFonts w:eastAsia="SimSun" w:cs="Arial"/>
          <w:kern w:val="2"/>
          <w:szCs w:val="24"/>
          <w:lang w:eastAsia="hi-IN" w:bidi="hi-IN"/>
        </w:rPr>
        <w:t>§</w:t>
      </w:r>
      <w:r>
        <w:rPr>
          <w:rFonts w:eastAsia="SimSun" w:cs="Mangal"/>
          <w:kern w:val="2"/>
          <w:szCs w:val="24"/>
          <w:lang w:eastAsia="hi-IN" w:bidi="hi-IN"/>
        </w:rPr>
        <w:t xml:space="preserve"> 9 ust. 2 RPO-KŚ.</w:t>
      </w:r>
      <w:r>
        <w:rPr>
          <w:rFonts w:eastAsia="Calibri" w:cs="Arial"/>
          <w:szCs w:val="24"/>
        </w:rPr>
        <w:t xml:space="preserve"> </w:t>
      </w:r>
    </w:p>
    <w:p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:rsidR="00706F5E" w:rsidRDefault="00706F5E" w:rsidP="00706F5E">
      <w:pPr>
        <w:widowControl w:val="0"/>
        <w:numPr>
          <w:ilvl w:val="1"/>
          <w:numId w:val="7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Bilety można nabyć w kasach biletowych KŚ i spółki Przewozy Regionalne, </w:t>
      </w:r>
      <w:r w:rsidR="009C4E59">
        <w:rPr>
          <w:rFonts w:eastAsia="SimSun" w:cs="Mangal"/>
          <w:color w:val="000000"/>
          <w:kern w:val="2"/>
          <w:szCs w:val="24"/>
          <w:lang w:eastAsia="hi-IN" w:bidi="hi-IN"/>
        </w:rPr>
        <w:br/>
      </w:r>
      <w:r>
        <w:rPr>
          <w:rFonts w:eastAsia="SimSun" w:cs="Mangal"/>
          <w:color w:val="000000"/>
          <w:kern w:val="2"/>
          <w:szCs w:val="24"/>
          <w:lang w:eastAsia="hi-IN" w:bidi="hi-IN"/>
        </w:rPr>
        <w:t>w systemie internetowej sprzedaży biletów e-KŚ, w „punktach na mieście” najwcześniej na 7 dni przed dniem wyjazdu oraz w pociągu u personelu pokładowego wyłącznie w dniu wyjazdu.</w:t>
      </w:r>
    </w:p>
    <w:p w:rsidR="00706F5E" w:rsidRDefault="00706F5E" w:rsidP="00706F5E">
      <w:pPr>
        <w:widowControl w:val="0"/>
        <w:numPr>
          <w:ilvl w:val="1"/>
          <w:numId w:val="7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Ulgę 30% stosuje się na podstawie dokumentu stwierdzającego wiek dziecka. </w:t>
      </w:r>
    </w:p>
    <w:p w:rsidR="00706F5E" w:rsidRDefault="00706F5E" w:rsidP="00706F5E">
      <w:pPr>
        <w:widowControl w:val="0"/>
        <w:numPr>
          <w:ilvl w:val="1"/>
          <w:numId w:val="7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 xml:space="preserve">Ulgę ustawową dla dzieci, o których mowa w </w:t>
      </w:r>
      <w:r>
        <w:rPr>
          <w:rFonts w:eastAsia="SimSun" w:cs="Arial"/>
          <w:kern w:val="2"/>
          <w:szCs w:val="24"/>
          <w:lang w:eastAsia="hi-IN" w:bidi="hi-IN"/>
        </w:rPr>
        <w:t>§</w:t>
      </w:r>
      <w:r>
        <w:rPr>
          <w:rFonts w:eastAsia="SimSun" w:cs="Mangal"/>
          <w:kern w:val="2"/>
          <w:szCs w:val="24"/>
          <w:lang w:eastAsia="hi-IN" w:bidi="hi-IN"/>
        </w:rPr>
        <w:t xml:space="preserve"> 2 ust. 3 pkt a, stosuje się na podstawie dokumentów poświadczających uprawnienie do tej ulgi. </w:t>
      </w:r>
    </w:p>
    <w:p w:rsidR="00706F5E" w:rsidRDefault="00706F5E" w:rsidP="00706F5E">
      <w:pPr>
        <w:widowControl w:val="0"/>
        <w:numPr>
          <w:ilvl w:val="1"/>
          <w:numId w:val="7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Rezygnacja z przejazdu części osób dozwolona jest pod warunkiem, że liczba uczestników kontynuujących podróż nie będzie mniejsza niż 2 osoby, w tym jedno dziecko do ukończenia 16 roku życia.</w:t>
      </w:r>
    </w:p>
    <w:p w:rsidR="00706F5E" w:rsidRDefault="00706F5E" w:rsidP="00706F5E">
      <w:pPr>
        <w:widowControl w:val="0"/>
        <w:numPr>
          <w:ilvl w:val="1"/>
          <w:numId w:val="7"/>
        </w:numPr>
        <w:suppressAutoHyphens/>
        <w:spacing w:before="120" w:after="120" w:line="360" w:lineRule="exact"/>
        <w:ind w:left="357" w:hanging="357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>Oferta bilet „RODZINNY” nie łączy się z innymi ofertami</w:t>
      </w:r>
    </w:p>
    <w:p w:rsidR="00706F5E" w:rsidRDefault="00706F5E" w:rsidP="00706F5E">
      <w:pPr>
        <w:rPr>
          <w:rFonts w:eastAsia="SimSun" w:cs="Mangal"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br w:type="page"/>
      </w:r>
    </w:p>
    <w:p w:rsidR="00706F5E" w:rsidRPr="00706F5E" w:rsidRDefault="009C4E59" w:rsidP="009C4E59">
      <w:pPr>
        <w:pStyle w:val="Nagwek1"/>
        <w:spacing w:line="360" w:lineRule="exact"/>
        <w:ind w:left="425" w:hanging="425"/>
      </w:pPr>
      <w:r>
        <w:lastRenderedPageBreak/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:rsidR="00706F5E" w:rsidRPr="00706F5E" w:rsidRDefault="00706F5E" w:rsidP="00706F5E">
      <w:pPr>
        <w:pStyle w:val="Nagwek2"/>
        <w:spacing w:before="120" w:after="120" w:line="360" w:lineRule="exact"/>
      </w:pPr>
      <w:r w:rsidRPr="00706F5E">
        <w:t>TABELA OPŁAT ZA BILETY JEDNORAZOWE Z ULGĄ 30%</w:t>
      </w:r>
    </w:p>
    <w:tbl>
      <w:tblPr>
        <w:tblW w:w="7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z ulgą 30 procent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2108"/>
        <w:gridCol w:w="1970"/>
        <w:gridCol w:w="1007"/>
        <w:gridCol w:w="1934"/>
      </w:tblGrid>
      <w:tr w:rsidR="00706F5E" w:rsidTr="00706F5E">
        <w:trPr>
          <w:trHeight w:hRule="exact" w:val="227"/>
          <w:jc w:val="center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706F5E" w:rsidTr="00706F5E">
        <w:trPr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9C4E59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706F5E" w:rsidTr="00706F5E">
        <w:trPr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06F5E" w:rsidTr="00706F5E">
        <w:trPr>
          <w:trHeight w:hRule="exact" w:val="1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F5E" w:rsidRPr="009C4E59" w:rsidRDefault="00706F5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9C4E59" w:rsidRDefault="00706F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C4E5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2,80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0,21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2,59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3,50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0,26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3,24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11 -  15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4,20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0,31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3,89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16 -  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4,90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0,36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4,54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5,60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0,41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5,19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6,30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0,47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5,83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bookmarkStart w:id="0" w:name="_GoBack" w:colFirst="0" w:colLast="3"/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7,00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0,52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6,48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7,70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0,57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7,13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8,40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0,62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7,78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9,10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0,67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8,43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9,80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0,73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9,07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10,50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0,78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9,72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11,20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0,83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10,37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11,90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0,88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11,02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13,30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0,99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12,31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14,00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1,04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12,96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14,70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1,09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13,61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15,40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1,14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14,26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16,10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1,19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14,91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16,80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1,24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15,56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17,50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1,30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16,20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18,20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1,35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16,85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18,90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1,40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17,50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19,25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1,43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17,82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19,60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1,45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18,15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19,95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1,48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18,47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281 - 300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20,30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1,50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18,80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301 - 320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20,65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1,53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19,12</w:t>
            </w:r>
          </w:p>
        </w:tc>
      </w:tr>
      <w:bookmarkEnd w:id="0"/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321 - 340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21,00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1,56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19,44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341 - 360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21,35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1,58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19,77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361 - 380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21,70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1,61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20,09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381 - 400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22,05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1,63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20,42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401 - 420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22,40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1,66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20,74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421 - 440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22,75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1,69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21,06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441 - 460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23,10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1,71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21,39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461 - 480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23,45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1,74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21,71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481 - 500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23,80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1,76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22,04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501 - 520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24,15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1,79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22,36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521 - 540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24,50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1,81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22,69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541 - 560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24,85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1,84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23,01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561 - 580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25,20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1,87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23,33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581 - 600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25,55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1,89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23,66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601 - 620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25,90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1,92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23,98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621 - 640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26,25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1,94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24,31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641 - 660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26,60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1,97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24,63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661 - 680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26,95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2,00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24,95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681 - 700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27,30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2,02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25,28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701 - 720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27,65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2,05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25,60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721 - 740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28,00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2,07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25,93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741 - 760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28,35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2,10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26,25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761 - 780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28,70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2,13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26,57</w:t>
            </w:r>
          </w:p>
        </w:tc>
      </w:tr>
      <w:tr w:rsidR="00706F5E" w:rsidTr="00706F5E">
        <w:trPr>
          <w:trHeight w:hRule="exact" w:val="227"/>
          <w:jc w:val="center"/>
        </w:trPr>
        <w:tc>
          <w:tcPr>
            <w:tcW w:w="1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781 - 800</w:t>
            </w: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06F5E">
              <w:rPr>
                <w:rFonts w:eastAsia="Times New Roman" w:cs="Arial"/>
                <w:b/>
                <w:bCs/>
                <w:sz w:val="22"/>
                <w:lang w:eastAsia="pl-PL"/>
              </w:rPr>
              <w:t>29,05</w:t>
            </w:r>
          </w:p>
        </w:tc>
        <w:tc>
          <w:tcPr>
            <w:tcW w:w="7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2,15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6F5E" w:rsidRPr="00706F5E" w:rsidRDefault="00706F5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06F5E">
              <w:rPr>
                <w:rFonts w:eastAsia="Times New Roman" w:cs="Arial"/>
                <w:sz w:val="22"/>
                <w:lang w:eastAsia="pl-PL"/>
              </w:rPr>
              <w:t>26,90</w:t>
            </w:r>
          </w:p>
        </w:tc>
      </w:tr>
    </w:tbl>
    <w:p w:rsidR="00706F5E" w:rsidRPr="00706F5E" w:rsidRDefault="009C4E59" w:rsidP="00706F5E">
      <w:pPr>
        <w:pStyle w:val="Nagwek1"/>
        <w:spacing w:line="360" w:lineRule="exact"/>
        <w:ind w:left="425" w:hanging="425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 xml:space="preserve">Zmiana umowy przewozu </w:t>
      </w:r>
    </w:p>
    <w:p w:rsidR="00706F5E" w:rsidRDefault="00706F5E" w:rsidP="009C4E59">
      <w:pPr>
        <w:widowControl w:val="0"/>
        <w:numPr>
          <w:ilvl w:val="1"/>
          <w:numId w:val="8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Zmiany umowy przewozu w zakresie przejazdu poza stację przeznaczenia, drogą inną oraz terminu wyjazdu można dokonać na warunkach określonych w § 8-11 TP-KŚ oraz </w:t>
      </w:r>
      <w:r>
        <w:rPr>
          <w:rFonts w:eastAsia="SimSun" w:cs="Arial"/>
          <w:color w:val="000000"/>
          <w:kern w:val="2"/>
          <w:szCs w:val="24"/>
          <w:lang w:eastAsia="hi-IN" w:bidi="hi-IN"/>
        </w:rPr>
        <w:t>§</w:t>
      </w:r>
      <w:r>
        <w:rPr>
          <w:rFonts w:eastAsia="SimSun" w:cs="Mangal"/>
          <w:color w:val="000000"/>
          <w:kern w:val="2"/>
          <w:szCs w:val="24"/>
          <w:lang w:eastAsia="hi-IN" w:bidi="hi-IN"/>
        </w:rPr>
        <w:t xml:space="preserve"> 12 ust. 4 RPO-KŚ.</w:t>
      </w:r>
    </w:p>
    <w:p w:rsidR="00706F5E" w:rsidRDefault="00706F5E" w:rsidP="009C4E59">
      <w:pPr>
        <w:widowControl w:val="0"/>
        <w:numPr>
          <w:ilvl w:val="1"/>
          <w:numId w:val="8"/>
        </w:numPr>
        <w:suppressAutoHyphens/>
        <w:spacing w:before="120" w:after="120" w:line="360" w:lineRule="exact"/>
        <w:ind w:left="425" w:hanging="425"/>
        <w:rPr>
          <w:rFonts w:eastAsia="SimSun" w:cs="Mangal"/>
          <w:color w:val="000000"/>
          <w:kern w:val="2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Cs w:val="24"/>
          <w:lang w:eastAsia="hi-IN" w:bidi="hi-IN"/>
        </w:rPr>
        <w:t>Przejście do pociągu innego przewoźnika nie jest dozwolone.</w:t>
      </w:r>
    </w:p>
    <w:p w:rsidR="00706F5E" w:rsidRDefault="009C4E59" w:rsidP="00706F5E">
      <w:pPr>
        <w:pStyle w:val="Nagwek1"/>
        <w:spacing w:line="360" w:lineRule="exact"/>
        <w:ind w:left="425" w:hanging="425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:rsidR="00706F5E" w:rsidRDefault="00706F5E" w:rsidP="009C4E59">
      <w:pPr>
        <w:spacing w:before="120" w:after="120" w:line="360" w:lineRule="exact"/>
        <w:rPr>
          <w:rFonts w:cs="Arial"/>
          <w:szCs w:val="24"/>
        </w:rPr>
      </w:pPr>
      <w:r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706F5E" w:rsidRDefault="00706F5E" w:rsidP="00706F5E">
      <w:pPr>
        <w:rPr>
          <w:rFonts w:cs="Arial"/>
          <w:szCs w:val="24"/>
        </w:rPr>
      </w:pPr>
    </w:p>
    <w:p w:rsidR="0037798D" w:rsidRPr="0037798D" w:rsidRDefault="0037798D" w:rsidP="0037798D"/>
    <w:sectPr w:rsidR="0037798D" w:rsidRPr="0037798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1F" w:rsidRDefault="00A00E1F" w:rsidP="00590051">
      <w:r>
        <w:separator/>
      </w:r>
    </w:p>
  </w:endnote>
  <w:endnote w:type="continuationSeparator" w:id="0">
    <w:p w:rsidR="00A00E1F" w:rsidRDefault="00A00E1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A00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1F" w:rsidRDefault="00A00E1F" w:rsidP="00590051">
      <w:r>
        <w:separator/>
      </w:r>
    </w:p>
  </w:footnote>
  <w:footnote w:type="continuationSeparator" w:id="0">
    <w:p w:rsidR="00A00E1F" w:rsidRDefault="00A00E1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>s</w:t>
    </w:r>
    <w:r w:rsidR="00706F5E">
      <w:rPr>
        <w:lang w:val="pl-PL"/>
      </w:rPr>
      <w:tab/>
    </w:r>
    <w:r w:rsidR="0066183D">
      <w:rPr>
        <w:lang w:val="pl-PL"/>
      </w:rPr>
      <w:t>St</w:t>
    </w:r>
    <w:r w:rsidR="00706F5E">
      <w:rPr>
        <w:lang w:val="pl-PL"/>
      </w:rPr>
      <w:t>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3E1828"/>
    <w:rsid w:val="00414FE5"/>
    <w:rsid w:val="0041621B"/>
    <w:rsid w:val="0043217E"/>
    <w:rsid w:val="00473EBD"/>
    <w:rsid w:val="00481EAD"/>
    <w:rsid w:val="00485752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6178"/>
    <w:rsid w:val="0076173A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00E1F"/>
    <w:rsid w:val="00A1384E"/>
    <w:rsid w:val="00A21919"/>
    <w:rsid w:val="00A31E14"/>
    <w:rsid w:val="00A43C1E"/>
    <w:rsid w:val="00A60C0C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E112F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76B0D"/>
    <w:rsid w:val="00E83DB4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7F6E-FF44-4EDF-BFA9-609793A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Bąk Ewa</cp:lastModifiedBy>
  <cp:revision>11</cp:revision>
  <cp:lastPrinted>2016-06-13T09:10:00Z</cp:lastPrinted>
  <dcterms:created xsi:type="dcterms:W3CDTF">2016-06-10T12:34:00Z</dcterms:created>
  <dcterms:modified xsi:type="dcterms:W3CDTF">2016-06-13T12:48:00Z</dcterms:modified>
</cp:coreProperties>
</file>