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044" w:rsidRPr="00762044" w:rsidRDefault="00F04162" w:rsidP="00762044">
      <w:pPr>
        <w:pStyle w:val="Tytu"/>
      </w:pPr>
      <w:r w:rsidRPr="001A4F25">
        <w:t xml:space="preserve">OFERTA SPECJALNA </w:t>
      </w:r>
      <w:r w:rsidRPr="001A4F25">
        <w:br/>
        <w:t>„ŚLĄSKIE DLA RODZINY - KARTA DUŻEJ RODZINY”</w:t>
      </w:r>
    </w:p>
    <w:p w:rsidR="00F04162" w:rsidRPr="001A4F25" w:rsidRDefault="00F04162" w:rsidP="001A4F25">
      <w:pPr>
        <w:pStyle w:val="Nagwek1"/>
      </w:pPr>
      <w:r w:rsidRPr="001A4F25">
        <w:t xml:space="preserve"> 1.</w:t>
      </w:r>
      <w:r w:rsidRPr="001A4F25">
        <w:tab/>
        <w:t>Uprawnieni</w:t>
      </w:r>
    </w:p>
    <w:p w:rsidR="00F04162" w:rsidRPr="00F04162" w:rsidRDefault="00F04162" w:rsidP="00BA29F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exact"/>
        <w:ind w:left="426"/>
        <w:jc w:val="both"/>
        <w:rPr>
          <w:rFonts w:cs="Arial"/>
          <w:szCs w:val="24"/>
        </w:rPr>
      </w:pPr>
      <w:r w:rsidRPr="00F04162">
        <w:rPr>
          <w:rFonts w:cs="Arial"/>
          <w:szCs w:val="24"/>
        </w:rPr>
        <w:t>Posiadacze Karty Dużej Rodziny (KDR) – członkowie rodziny wielodzietnej:</w:t>
      </w:r>
    </w:p>
    <w:p w:rsidR="00F04162" w:rsidRPr="00F04162" w:rsidRDefault="00F04162" w:rsidP="00663D55">
      <w:pPr>
        <w:autoSpaceDE w:val="0"/>
        <w:autoSpaceDN w:val="0"/>
        <w:adjustRightInd w:val="0"/>
        <w:spacing w:before="120" w:after="120" w:line="360" w:lineRule="exact"/>
        <w:ind w:left="851" w:hanging="425"/>
        <w:rPr>
          <w:rFonts w:cs="Arial"/>
          <w:szCs w:val="24"/>
        </w:rPr>
      </w:pPr>
      <w:r w:rsidRPr="00F04162">
        <w:rPr>
          <w:rFonts w:cs="Arial"/>
          <w:szCs w:val="24"/>
        </w:rPr>
        <w:t>1)</w:t>
      </w:r>
      <w:r w:rsidRPr="00F04162">
        <w:rPr>
          <w:rFonts w:cs="Arial"/>
          <w:szCs w:val="24"/>
        </w:rPr>
        <w:tab/>
        <w:t>rodzic (rodzice) – przez którego rozumie się także rodzica (rodziców) zastępczych lub osobę (osoby) prowadzącą rodzinny dom dziecka,</w:t>
      </w:r>
    </w:p>
    <w:p w:rsidR="00F04162" w:rsidRPr="00F04162" w:rsidRDefault="00F04162" w:rsidP="00663D55">
      <w:pPr>
        <w:autoSpaceDE w:val="0"/>
        <w:autoSpaceDN w:val="0"/>
        <w:adjustRightInd w:val="0"/>
        <w:spacing w:before="120" w:after="120" w:line="360" w:lineRule="exact"/>
        <w:ind w:left="851" w:hanging="425"/>
        <w:rPr>
          <w:rFonts w:cs="Arial"/>
          <w:szCs w:val="24"/>
        </w:rPr>
      </w:pPr>
      <w:r w:rsidRPr="00F04162">
        <w:rPr>
          <w:rFonts w:cs="Arial"/>
          <w:szCs w:val="24"/>
        </w:rPr>
        <w:t>2)</w:t>
      </w:r>
      <w:r w:rsidRPr="00F04162">
        <w:rPr>
          <w:rFonts w:cs="Arial"/>
          <w:szCs w:val="24"/>
        </w:rPr>
        <w:tab/>
        <w:t>małżonek rodzica,</w:t>
      </w:r>
    </w:p>
    <w:p w:rsidR="00F04162" w:rsidRPr="00F04162" w:rsidRDefault="00F04162" w:rsidP="00663D55">
      <w:pPr>
        <w:autoSpaceDE w:val="0"/>
        <w:autoSpaceDN w:val="0"/>
        <w:adjustRightInd w:val="0"/>
        <w:spacing w:before="120" w:after="120" w:line="360" w:lineRule="exact"/>
        <w:ind w:left="851" w:hanging="425"/>
        <w:rPr>
          <w:rFonts w:cs="Arial"/>
          <w:szCs w:val="24"/>
        </w:rPr>
      </w:pPr>
      <w:r w:rsidRPr="00F04162">
        <w:rPr>
          <w:rFonts w:cs="Arial"/>
          <w:szCs w:val="24"/>
        </w:rPr>
        <w:t>3)</w:t>
      </w:r>
      <w:r w:rsidRPr="00F04162">
        <w:rPr>
          <w:rFonts w:cs="Arial"/>
          <w:szCs w:val="24"/>
        </w:rPr>
        <w:tab/>
        <w:t>dziecko – przez które rozumie się także dziecko, nad którym rodzic sprawuje rodzinną pieczę zastępczą, oraz osobę, o której mowa w art. 37 ust. 2 ustawy z dnia 9 czerwca 2011 r. o wspieraniu rodziny i systemie pieczy zastępczej (Dz. U. z 2013 r. poz. 135, ze zm. 2)</w:t>
      </w:r>
    </w:p>
    <w:p w:rsidR="00F04162" w:rsidRPr="00F04162" w:rsidRDefault="00F04162" w:rsidP="00663D5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exact"/>
        <w:ind w:left="426"/>
        <w:rPr>
          <w:rFonts w:cs="Arial"/>
          <w:szCs w:val="24"/>
        </w:rPr>
      </w:pPr>
      <w:r w:rsidRPr="00F04162">
        <w:rPr>
          <w:rFonts w:cs="Arial"/>
          <w:szCs w:val="24"/>
        </w:rPr>
        <w:t>Przez rodzinę wielodzietną rozumie się rodzinę, w której rodzic (rodzice) lub małżonek rodzica mają na utrzymaniu co najmniej troje dzieci:</w:t>
      </w:r>
    </w:p>
    <w:p w:rsidR="00F04162" w:rsidRPr="00F04162" w:rsidRDefault="00F04162" w:rsidP="00663D55">
      <w:pPr>
        <w:autoSpaceDE w:val="0"/>
        <w:autoSpaceDN w:val="0"/>
        <w:adjustRightInd w:val="0"/>
        <w:spacing w:before="120" w:after="120" w:line="360" w:lineRule="exact"/>
        <w:ind w:left="850" w:hanging="425"/>
        <w:rPr>
          <w:rFonts w:cs="Arial"/>
          <w:szCs w:val="24"/>
        </w:rPr>
      </w:pPr>
      <w:r w:rsidRPr="00F04162">
        <w:rPr>
          <w:rFonts w:cs="Arial"/>
          <w:szCs w:val="24"/>
        </w:rPr>
        <w:t>1)</w:t>
      </w:r>
      <w:r w:rsidRPr="00F04162">
        <w:rPr>
          <w:rFonts w:cs="Arial"/>
          <w:szCs w:val="24"/>
        </w:rPr>
        <w:tab/>
        <w:t>w wieku do ukończenia 18 roku życia,</w:t>
      </w:r>
    </w:p>
    <w:p w:rsidR="00F04162" w:rsidRPr="00F04162" w:rsidRDefault="00F04162" w:rsidP="00663D55">
      <w:pPr>
        <w:autoSpaceDE w:val="0"/>
        <w:autoSpaceDN w:val="0"/>
        <w:adjustRightInd w:val="0"/>
        <w:spacing w:before="120" w:after="120" w:line="360" w:lineRule="exact"/>
        <w:ind w:left="851" w:hanging="425"/>
        <w:rPr>
          <w:rFonts w:cs="Arial"/>
          <w:szCs w:val="24"/>
        </w:rPr>
      </w:pPr>
      <w:r w:rsidRPr="00F04162">
        <w:rPr>
          <w:rFonts w:cs="Arial"/>
          <w:szCs w:val="24"/>
        </w:rPr>
        <w:t>2)</w:t>
      </w:r>
      <w:r w:rsidRPr="00F04162">
        <w:rPr>
          <w:rFonts w:cs="Arial"/>
          <w:szCs w:val="24"/>
        </w:rPr>
        <w:tab/>
        <w:t xml:space="preserve">w wieku do ukończenia 25 roku życia – w przypadku, gdy dziecko uczy się </w:t>
      </w:r>
      <w:r w:rsidR="00663D55">
        <w:rPr>
          <w:rFonts w:cs="Arial"/>
          <w:szCs w:val="24"/>
        </w:rPr>
        <w:br/>
      </w:r>
      <w:r w:rsidRPr="00F04162">
        <w:rPr>
          <w:rFonts w:cs="Arial"/>
          <w:szCs w:val="24"/>
        </w:rPr>
        <w:t>w szkole lub szkole wyższej,</w:t>
      </w:r>
    </w:p>
    <w:p w:rsidR="00F04162" w:rsidRPr="00F04162" w:rsidRDefault="00F04162" w:rsidP="00663D55">
      <w:pPr>
        <w:autoSpaceDE w:val="0"/>
        <w:autoSpaceDN w:val="0"/>
        <w:adjustRightInd w:val="0"/>
        <w:spacing w:before="120" w:after="120" w:line="360" w:lineRule="exact"/>
        <w:ind w:left="851" w:hanging="425"/>
        <w:rPr>
          <w:rFonts w:cs="Arial"/>
          <w:szCs w:val="24"/>
        </w:rPr>
      </w:pPr>
      <w:r w:rsidRPr="00F04162">
        <w:rPr>
          <w:rFonts w:cs="Arial"/>
          <w:szCs w:val="24"/>
        </w:rPr>
        <w:t>3)</w:t>
      </w:r>
      <w:r w:rsidRPr="00F04162">
        <w:rPr>
          <w:rFonts w:cs="Arial"/>
          <w:szCs w:val="24"/>
        </w:rPr>
        <w:tab/>
        <w:t>bez ograniczeń wiekowych – w przypadku dzieci legitymujących się orzeczeniem o umiarkowanym albo znacznym stopniu niepełnosprawności.</w:t>
      </w:r>
    </w:p>
    <w:p w:rsidR="00F04162" w:rsidRPr="00F04162" w:rsidRDefault="00F04162" w:rsidP="00663D55">
      <w:pPr>
        <w:pStyle w:val="Akapitzlist"/>
        <w:numPr>
          <w:ilvl w:val="0"/>
          <w:numId w:val="7"/>
        </w:numPr>
        <w:spacing w:before="120" w:after="120" w:line="360" w:lineRule="exact"/>
        <w:ind w:left="426"/>
        <w:rPr>
          <w:rFonts w:cs="Arial"/>
          <w:szCs w:val="24"/>
        </w:rPr>
      </w:pPr>
      <w:r w:rsidRPr="00F04162">
        <w:rPr>
          <w:rFonts w:cs="Arial"/>
          <w:szCs w:val="24"/>
        </w:rPr>
        <w:t xml:space="preserve">Przejazd na podstawie KDR może odbywać jedna osoba lub więcej. </w:t>
      </w:r>
    </w:p>
    <w:p w:rsidR="00F04162" w:rsidRPr="00F04162" w:rsidRDefault="00F04162" w:rsidP="001A4F25">
      <w:pPr>
        <w:pStyle w:val="Nagwek1"/>
      </w:pPr>
      <w:r w:rsidRPr="00F04162">
        <w:t>2.</w:t>
      </w:r>
      <w:r w:rsidRPr="00F04162">
        <w:tab/>
        <w:t>Zakres i obszar ważności</w:t>
      </w:r>
    </w:p>
    <w:p w:rsidR="00F04162" w:rsidRPr="00F04162" w:rsidRDefault="00F04162" w:rsidP="00663D55">
      <w:pPr>
        <w:pStyle w:val="Akapitzlist"/>
        <w:numPr>
          <w:ilvl w:val="0"/>
          <w:numId w:val="8"/>
        </w:numPr>
        <w:spacing w:before="120" w:after="120" w:line="360" w:lineRule="exact"/>
        <w:ind w:left="426" w:hanging="357"/>
        <w:contextualSpacing w:val="0"/>
        <w:rPr>
          <w:rFonts w:cs="Arial"/>
          <w:szCs w:val="24"/>
        </w:rPr>
      </w:pPr>
      <w:r w:rsidRPr="00F04162">
        <w:rPr>
          <w:rFonts w:cs="Arial"/>
          <w:szCs w:val="24"/>
        </w:rPr>
        <w:t xml:space="preserve">Ulgę stosuje się przy przejazdach we wszystkich pociągach KŚ przewidzianych w rozkładzie jazdy. </w:t>
      </w:r>
    </w:p>
    <w:p w:rsidR="00F04162" w:rsidRPr="00F04162" w:rsidRDefault="00F04162" w:rsidP="00663D55">
      <w:pPr>
        <w:pStyle w:val="Akapitzlist"/>
        <w:numPr>
          <w:ilvl w:val="0"/>
          <w:numId w:val="8"/>
        </w:numPr>
        <w:spacing w:before="120" w:after="120" w:line="360" w:lineRule="exact"/>
        <w:ind w:left="426" w:hanging="357"/>
        <w:contextualSpacing w:val="0"/>
        <w:rPr>
          <w:rFonts w:cs="Arial"/>
          <w:szCs w:val="24"/>
        </w:rPr>
      </w:pPr>
      <w:r w:rsidRPr="00F04162">
        <w:rPr>
          <w:rFonts w:cs="Arial"/>
          <w:szCs w:val="24"/>
        </w:rPr>
        <w:t xml:space="preserve">Osoby wymienione w § 1 ust. 1 i 2 mogą nabyć bilety jednorazowe na przejazd </w:t>
      </w:r>
      <w:r w:rsidR="00BA29F9">
        <w:rPr>
          <w:rFonts w:cs="Arial"/>
          <w:szCs w:val="24"/>
        </w:rPr>
        <w:br/>
      </w:r>
      <w:r w:rsidRPr="00F04162">
        <w:rPr>
          <w:rFonts w:cs="Arial"/>
          <w:szCs w:val="24"/>
        </w:rPr>
        <w:t>w jedną stronę:</w:t>
      </w:r>
    </w:p>
    <w:p w:rsidR="00F04162" w:rsidRPr="00F04162" w:rsidRDefault="00F04162" w:rsidP="00663D55">
      <w:pPr>
        <w:pStyle w:val="Akapitzlist"/>
        <w:numPr>
          <w:ilvl w:val="0"/>
          <w:numId w:val="9"/>
        </w:numPr>
        <w:spacing w:before="120" w:after="120" w:line="360" w:lineRule="exact"/>
        <w:ind w:left="851" w:hanging="357"/>
        <w:contextualSpacing w:val="0"/>
        <w:rPr>
          <w:rFonts w:cs="Arial"/>
          <w:szCs w:val="24"/>
        </w:rPr>
      </w:pPr>
      <w:r w:rsidRPr="00F04162">
        <w:rPr>
          <w:rFonts w:cs="Arial"/>
          <w:szCs w:val="24"/>
        </w:rPr>
        <w:t>rodzice/opiekunowie z ulgą handlową 50%,</w:t>
      </w:r>
    </w:p>
    <w:p w:rsidR="00BA29F9" w:rsidRDefault="00F04162" w:rsidP="00663D55">
      <w:pPr>
        <w:pStyle w:val="Akapitzlist"/>
        <w:numPr>
          <w:ilvl w:val="0"/>
          <w:numId w:val="9"/>
        </w:numPr>
        <w:spacing w:before="120" w:after="120" w:line="360" w:lineRule="exact"/>
        <w:ind w:left="851" w:hanging="357"/>
        <w:contextualSpacing w:val="0"/>
        <w:rPr>
          <w:rFonts w:cs="Arial"/>
          <w:szCs w:val="24"/>
        </w:rPr>
      </w:pPr>
      <w:r w:rsidRPr="00F04162">
        <w:rPr>
          <w:rFonts w:cs="Arial"/>
          <w:szCs w:val="24"/>
        </w:rPr>
        <w:t xml:space="preserve">dzieci i młodzież z indywidualną ulgą ustawową, na podstawie dokumentów poświadczających uprawnienie do tej ulgi lub z ulgą handlową 30% </w:t>
      </w:r>
      <w:r w:rsidRPr="00F04162">
        <w:rPr>
          <w:rFonts w:cs="Arial"/>
          <w:szCs w:val="24"/>
        </w:rPr>
        <w:br/>
        <w:t>w przypadku braku dokumentu poświadczającego uprawnienie do indywidualnej ulgi ustawowej.</w:t>
      </w:r>
    </w:p>
    <w:p w:rsidR="00BA29F9" w:rsidRDefault="00BA29F9">
      <w:pPr>
        <w:spacing w:after="200" w:line="276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F04162" w:rsidRPr="00F04162" w:rsidRDefault="00F04162" w:rsidP="001A4F25">
      <w:pPr>
        <w:pStyle w:val="Nagwek1"/>
      </w:pPr>
      <w:r w:rsidRPr="00F04162">
        <w:lastRenderedPageBreak/>
        <w:t>3.</w:t>
      </w:r>
      <w:r w:rsidRPr="00F04162">
        <w:tab/>
        <w:t>Warunki stosowania</w:t>
      </w:r>
    </w:p>
    <w:p w:rsidR="00F04162" w:rsidRPr="00F04162" w:rsidRDefault="00F04162" w:rsidP="00663D55">
      <w:pPr>
        <w:pStyle w:val="Akapitzlist"/>
        <w:numPr>
          <w:ilvl w:val="0"/>
          <w:numId w:val="10"/>
        </w:numPr>
        <w:spacing w:before="120" w:after="120" w:line="360" w:lineRule="exact"/>
        <w:ind w:left="426" w:hanging="357"/>
        <w:contextualSpacing w:val="0"/>
        <w:rPr>
          <w:rFonts w:eastAsia="SimSun" w:cs="Mangal"/>
          <w:color w:val="000000"/>
          <w:kern w:val="1"/>
          <w:szCs w:val="24"/>
          <w:lang w:eastAsia="hi-IN" w:bidi="hi-IN"/>
        </w:rPr>
      </w:pPr>
      <w:r w:rsidRPr="00F04162">
        <w:rPr>
          <w:rFonts w:eastAsia="SimSun" w:cs="Mangal"/>
          <w:color w:val="000000"/>
          <w:kern w:val="1"/>
          <w:szCs w:val="24"/>
          <w:lang w:eastAsia="hi-IN" w:bidi="hi-IN"/>
        </w:rPr>
        <w:t xml:space="preserve">Bilety można nabyć w kasach biletowych KŚ, w biletomatach, w systemie internetowej sprzedaży biletów e-KŚ, w „punktach na mieście” najwcześniej na </w:t>
      </w:r>
      <w:r w:rsidR="00C619E2">
        <w:rPr>
          <w:rFonts w:eastAsia="SimSun" w:cs="Mangal"/>
          <w:color w:val="000000"/>
          <w:kern w:val="1"/>
          <w:szCs w:val="24"/>
          <w:lang w:eastAsia="hi-IN" w:bidi="hi-IN"/>
        </w:rPr>
        <w:br/>
      </w:r>
      <w:r w:rsidRPr="00F04162">
        <w:rPr>
          <w:rFonts w:eastAsia="SimSun" w:cs="Mangal"/>
          <w:color w:val="000000"/>
          <w:kern w:val="1"/>
          <w:szCs w:val="24"/>
          <w:lang w:eastAsia="hi-IN" w:bidi="hi-IN"/>
        </w:rPr>
        <w:t>7 dni przed dniem wyjazdu oraz w pociągach u personelu pokładowego wyłącznie w dniu wyjazdu.</w:t>
      </w:r>
    </w:p>
    <w:p w:rsidR="00F04162" w:rsidRPr="00F04162" w:rsidRDefault="00F04162" w:rsidP="00663D55">
      <w:pPr>
        <w:pStyle w:val="Akapitzlist"/>
        <w:numPr>
          <w:ilvl w:val="0"/>
          <w:numId w:val="10"/>
        </w:numPr>
        <w:spacing w:before="120" w:after="120" w:line="360" w:lineRule="exact"/>
        <w:ind w:left="426" w:hanging="357"/>
        <w:contextualSpacing w:val="0"/>
        <w:rPr>
          <w:rFonts w:cs="Arial"/>
          <w:szCs w:val="24"/>
        </w:rPr>
      </w:pPr>
      <w:r w:rsidRPr="00F04162">
        <w:rPr>
          <w:rFonts w:cs="Arial"/>
          <w:szCs w:val="24"/>
        </w:rPr>
        <w:t xml:space="preserve">Oferta obowiązuje od dnia poprzedzającego dzień wolny od pracy od godz. 14:00, do ostatniego dnia wolnego od pracy do godz. 24:00. </w:t>
      </w:r>
    </w:p>
    <w:p w:rsidR="00F04162" w:rsidRPr="00F04162" w:rsidRDefault="00F04162" w:rsidP="00663D55">
      <w:pPr>
        <w:pStyle w:val="Akapitzlist"/>
        <w:numPr>
          <w:ilvl w:val="0"/>
          <w:numId w:val="10"/>
        </w:numPr>
        <w:spacing w:before="120" w:after="120" w:line="360" w:lineRule="exact"/>
        <w:ind w:left="426" w:hanging="357"/>
        <w:contextualSpacing w:val="0"/>
        <w:rPr>
          <w:rFonts w:cs="Arial"/>
          <w:szCs w:val="24"/>
        </w:rPr>
      </w:pPr>
      <w:r w:rsidRPr="00F04162">
        <w:rPr>
          <w:rFonts w:cs="Arial"/>
          <w:szCs w:val="24"/>
        </w:rPr>
        <w:t>Bilet uprawnia do ulgowego przejazdu jednorazowego, w terminie ważności określonym na bilecie:</w:t>
      </w:r>
    </w:p>
    <w:p w:rsidR="00F04162" w:rsidRPr="00BA29F9" w:rsidRDefault="00F04162" w:rsidP="00663D55">
      <w:pPr>
        <w:pStyle w:val="Akapitzlist"/>
        <w:numPr>
          <w:ilvl w:val="0"/>
          <w:numId w:val="12"/>
        </w:numPr>
        <w:spacing w:before="120" w:after="120" w:line="360" w:lineRule="exact"/>
        <w:ind w:left="709" w:hanging="357"/>
        <w:contextualSpacing w:val="0"/>
        <w:rPr>
          <w:rFonts w:cs="Arial"/>
          <w:szCs w:val="24"/>
        </w:rPr>
      </w:pPr>
      <w:r w:rsidRPr="00BA29F9">
        <w:rPr>
          <w:rFonts w:cs="Arial"/>
          <w:szCs w:val="24"/>
        </w:rPr>
        <w:t>do 100 km wynosi 6 godzin,</w:t>
      </w:r>
    </w:p>
    <w:p w:rsidR="00F04162" w:rsidRPr="00BA29F9" w:rsidRDefault="00F04162" w:rsidP="00663D55">
      <w:pPr>
        <w:pStyle w:val="Akapitzlist"/>
        <w:numPr>
          <w:ilvl w:val="0"/>
          <w:numId w:val="12"/>
        </w:numPr>
        <w:spacing w:before="120" w:after="120" w:line="360" w:lineRule="exact"/>
        <w:ind w:left="709" w:hanging="357"/>
        <w:contextualSpacing w:val="0"/>
        <w:rPr>
          <w:rFonts w:cs="Arial"/>
          <w:szCs w:val="24"/>
        </w:rPr>
      </w:pPr>
      <w:r w:rsidRPr="00BA29F9">
        <w:rPr>
          <w:rFonts w:cs="Arial"/>
          <w:szCs w:val="24"/>
        </w:rPr>
        <w:t>powyżej 100 km wynosi 1 dzień.</w:t>
      </w:r>
    </w:p>
    <w:p w:rsidR="00F04162" w:rsidRPr="00BA29F9" w:rsidRDefault="00F04162" w:rsidP="00663D55">
      <w:pPr>
        <w:pStyle w:val="Akapitzlist"/>
        <w:numPr>
          <w:ilvl w:val="0"/>
          <w:numId w:val="10"/>
        </w:numPr>
        <w:spacing w:before="120" w:after="120" w:line="360" w:lineRule="exact"/>
        <w:ind w:left="426" w:hanging="357"/>
        <w:contextualSpacing w:val="0"/>
        <w:rPr>
          <w:rFonts w:cs="Arial"/>
          <w:szCs w:val="24"/>
        </w:rPr>
      </w:pPr>
      <w:r w:rsidRPr="00BA29F9">
        <w:rPr>
          <w:rFonts w:cs="Arial"/>
          <w:szCs w:val="24"/>
        </w:rPr>
        <w:t xml:space="preserve">Ulgę handlową 50% i 30% stosuje się na podstawie Karty Dużej Rodziny (KDR) - (wzór karty stanowi załącznik Nr 1 do niniejszej oferty). </w:t>
      </w:r>
    </w:p>
    <w:p w:rsidR="00F04162" w:rsidRPr="00BA29F9" w:rsidRDefault="00F04162" w:rsidP="00663D55">
      <w:pPr>
        <w:pStyle w:val="Akapitzlist"/>
        <w:numPr>
          <w:ilvl w:val="0"/>
          <w:numId w:val="10"/>
        </w:numPr>
        <w:spacing w:before="120" w:after="120" w:line="360" w:lineRule="exact"/>
        <w:ind w:left="426" w:hanging="357"/>
        <w:contextualSpacing w:val="0"/>
        <w:rPr>
          <w:rFonts w:cs="Arial"/>
          <w:szCs w:val="24"/>
        </w:rPr>
      </w:pPr>
      <w:r w:rsidRPr="00BA29F9">
        <w:rPr>
          <w:rFonts w:cs="Arial"/>
          <w:szCs w:val="24"/>
        </w:rPr>
        <w:t xml:space="preserve">Ulgę ustawową dla dzieci i młodzieży, stosuje się na podstawie dokumentów poświadczających uprawnienie do tej ulgi. </w:t>
      </w:r>
    </w:p>
    <w:p w:rsidR="00F04162" w:rsidRPr="00BA29F9" w:rsidRDefault="00F04162" w:rsidP="00663D55">
      <w:pPr>
        <w:pStyle w:val="Akapitzlist"/>
        <w:numPr>
          <w:ilvl w:val="0"/>
          <w:numId w:val="10"/>
        </w:numPr>
        <w:spacing w:before="120" w:after="120" w:line="360" w:lineRule="exact"/>
        <w:ind w:left="426" w:hanging="357"/>
        <w:contextualSpacing w:val="0"/>
        <w:rPr>
          <w:rFonts w:cs="Arial"/>
          <w:szCs w:val="24"/>
        </w:rPr>
      </w:pPr>
      <w:r w:rsidRPr="00BA29F9">
        <w:rPr>
          <w:rFonts w:cs="Arial"/>
          <w:szCs w:val="24"/>
        </w:rPr>
        <w:t>Oferty dla posiadaczy „KARTY DUŻEJ RODZINY” nie łączy się z innymi ofertami.</w:t>
      </w:r>
    </w:p>
    <w:p w:rsidR="00F04162" w:rsidRPr="00F04162" w:rsidRDefault="00F04162" w:rsidP="00BA29F9">
      <w:pPr>
        <w:spacing w:after="200" w:line="360" w:lineRule="exact"/>
        <w:rPr>
          <w:rFonts w:cs="Arial"/>
          <w:szCs w:val="24"/>
        </w:rPr>
      </w:pPr>
      <w:r w:rsidRPr="00F04162">
        <w:rPr>
          <w:rFonts w:cs="Arial"/>
          <w:szCs w:val="24"/>
        </w:rPr>
        <w:br w:type="page"/>
      </w:r>
    </w:p>
    <w:p w:rsidR="00F04162" w:rsidRPr="00F04162" w:rsidRDefault="00F04162" w:rsidP="001A4F25">
      <w:pPr>
        <w:pStyle w:val="Nagwek1"/>
      </w:pPr>
      <w:r w:rsidRPr="00F04162">
        <w:lastRenderedPageBreak/>
        <w:t>4.</w:t>
      </w:r>
      <w:r w:rsidRPr="00F04162">
        <w:tab/>
        <w:t>Opłaty</w:t>
      </w:r>
    </w:p>
    <w:p w:rsidR="00F04162" w:rsidRPr="001A4F25" w:rsidRDefault="00F04162" w:rsidP="001A4F25">
      <w:pPr>
        <w:pStyle w:val="Nagwek2"/>
      </w:pPr>
      <w:r w:rsidRPr="001A4F25">
        <w:t xml:space="preserve">Tabela 1. Bilety jednorazowe z ulgą handlową 30% </w:t>
      </w:r>
    </w:p>
    <w:tbl>
      <w:tblPr>
        <w:tblW w:w="70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 Bilety jednorazowe z ulgą handlową 30 procent"/>
        <w:tblDescription w:val="Tabela zawiera 4 kolumny. W kolumnie pierwszej wskazano odległość w formie przedziału kilometrowego, w kolumnie drugiej wskazano cene biletu brutto, w kolumnie trzeciej wartośc podatku VAT, w kolumnie czwartej cenę biletu netto."/>
      </w:tblPr>
      <w:tblGrid>
        <w:gridCol w:w="2108"/>
        <w:gridCol w:w="1970"/>
        <w:gridCol w:w="1007"/>
        <w:gridCol w:w="1934"/>
      </w:tblGrid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Za </w:t>
            </w: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br/>
              <w:t>odległość</w:t>
            </w:r>
          </w:p>
        </w:tc>
        <w:tc>
          <w:tcPr>
            <w:tcW w:w="491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Ceny biletów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04162" w:rsidRPr="00F04162" w:rsidRDefault="00F04162" w:rsidP="00F04162">
            <w:pP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97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Cena </w:t>
            </w: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br/>
              <w:t>brutto</w:t>
            </w:r>
          </w:p>
        </w:tc>
        <w:tc>
          <w:tcPr>
            <w:tcW w:w="100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>PTU</w:t>
            </w:r>
          </w:p>
        </w:tc>
        <w:tc>
          <w:tcPr>
            <w:tcW w:w="19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Cena </w:t>
            </w: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br/>
              <w:t>netto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04162" w:rsidRPr="00F04162" w:rsidRDefault="00F04162" w:rsidP="00F04162">
            <w:pP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97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04162" w:rsidRPr="00F04162" w:rsidRDefault="00F04162" w:rsidP="00F04162">
            <w:pP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00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04162" w:rsidRPr="00F04162" w:rsidRDefault="00F04162" w:rsidP="00F04162">
            <w:pPr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9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04162" w:rsidRPr="00F04162" w:rsidRDefault="00F04162" w:rsidP="00F04162">
            <w:pPr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</w:tr>
      <w:tr w:rsidR="00F04162" w:rsidRPr="00F04162" w:rsidTr="00BA29F9">
        <w:trPr>
          <w:trHeight w:hRule="exact" w:val="105"/>
          <w:jc w:val="center"/>
        </w:trPr>
        <w:tc>
          <w:tcPr>
            <w:tcW w:w="210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04162" w:rsidRPr="00F04162" w:rsidRDefault="00F04162" w:rsidP="00F04162">
            <w:pP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97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04162" w:rsidRPr="00F04162" w:rsidRDefault="00F04162" w:rsidP="00F04162">
            <w:pP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00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04162" w:rsidRPr="00F04162" w:rsidRDefault="00F04162" w:rsidP="00F04162">
            <w:pPr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9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04162" w:rsidRPr="00F04162" w:rsidRDefault="00F04162" w:rsidP="00F04162">
            <w:pPr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w km</w:t>
            </w:r>
          </w:p>
        </w:tc>
        <w:tc>
          <w:tcPr>
            <w:tcW w:w="491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w złotych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do 5</w:t>
            </w:r>
          </w:p>
        </w:tc>
        <w:tc>
          <w:tcPr>
            <w:tcW w:w="19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2,80 </w:t>
            </w:r>
          </w:p>
        </w:tc>
        <w:tc>
          <w:tcPr>
            <w:tcW w:w="10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0,21 </w:t>
            </w:r>
          </w:p>
        </w:tc>
        <w:tc>
          <w:tcPr>
            <w:tcW w:w="19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2,59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6 - 10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3,50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0,26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3,24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11 -  15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4,20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0,31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3,89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16 -  20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4,90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0,36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4,54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21 - 25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5,60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0,41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5,19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26 - 30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6,30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0,47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5,83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31 - 35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7,00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0,52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6,48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36 - 40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7,70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0,57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7,13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41 - 45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8,40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0,62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7,78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46 - 50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9,10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0,67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8,43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51 - 55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9,80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0,73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9,07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56 - 60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10,50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0,78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9,72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61 - 70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11,20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0,83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10,37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71 - 80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11,90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0,88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11,02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81 - 90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13,30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0,99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12,31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91 - 100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14,00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1,04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12,96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101 - 110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14,70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1,09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13,61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111 - 120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15,40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1,14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14,26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121 - 140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16,10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1,19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14,91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141 - 160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16,80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1,24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15,56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161 - 180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17,50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1,30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16,20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181 - 200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18,20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1,35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16,85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201 - 220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18,90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1,40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17,50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221 - 240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19,25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1,43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17,82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241 - 260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19,60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1,45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18,15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261 - 280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19,95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1,48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18,47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281 - 300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20,30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1,50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18,80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301 - 320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20,65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1,53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19,12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321 - 340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21,00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1,56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19,44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341 - 360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21,35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1,58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19,77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361 - 380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21,70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1,61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20,09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381 - 400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22,05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1,63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20,42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401 - 420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22,40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1,66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20,74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421 - 440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22,75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1,69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21,06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441 - 460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23,10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1,71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21,39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461 - 480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23,45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1,74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21,71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481 - 500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23,80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1,76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22,04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501 - 520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24,15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1,79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22,36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521 - 540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24,50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1,81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22,69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541 - 560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24,85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1,84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23,01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561 - 580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25,20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1,87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23,33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581 - 600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25,55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1,89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23,66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601 - 620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25,90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1,92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23,98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621 - 640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26,25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1,94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24,31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641 - 660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26,60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1,97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24,63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661 - 680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26,95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2,00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24,95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681 - 700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27,30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2,02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25,28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701 - 720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27,65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2,05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25,60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721 - 740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28,00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2,07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25,93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741 - 760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28,35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2,10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26,25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761 - 780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28,70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2,13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26,57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781 - 800</w:t>
            </w:r>
          </w:p>
        </w:tc>
        <w:tc>
          <w:tcPr>
            <w:tcW w:w="19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29,05 </w:t>
            </w:r>
          </w:p>
        </w:tc>
        <w:tc>
          <w:tcPr>
            <w:tcW w:w="10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2,15 </w:t>
            </w:r>
          </w:p>
        </w:tc>
        <w:tc>
          <w:tcPr>
            <w:tcW w:w="19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26,90 </w:t>
            </w:r>
          </w:p>
        </w:tc>
      </w:tr>
    </w:tbl>
    <w:p w:rsidR="001A4F25" w:rsidRDefault="001A4F25">
      <w:pPr>
        <w:spacing w:after="200" w:line="276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:rsidR="00F04162" w:rsidRPr="00F04162" w:rsidRDefault="00BA29F9" w:rsidP="001A4F25">
      <w:pPr>
        <w:pStyle w:val="Nagwek2"/>
      </w:pPr>
      <w:r>
        <w:lastRenderedPageBreak/>
        <w:br/>
      </w:r>
      <w:r w:rsidR="00F04162" w:rsidRPr="00F04162">
        <w:t>Tabela 2. Bilety jednorazowe z ulgą handlową 50%</w:t>
      </w:r>
    </w:p>
    <w:tbl>
      <w:tblPr>
        <w:tblW w:w="70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 Bilety jednorazowe z ulgą handlową 50 procent"/>
        <w:tblDescription w:val="Tabela zawiera 4 kolumny. W kolumnie pierwszej wskazano odległość w formie przedziału kilometrowego, w kolumnie drugiej wskazano cene biletu brutto, w kolumnie trzeciej wartośc podatku VAT, w kolumnie czwartej cenę biletu netto."/>
      </w:tblPr>
      <w:tblGrid>
        <w:gridCol w:w="2108"/>
        <w:gridCol w:w="1970"/>
        <w:gridCol w:w="1007"/>
        <w:gridCol w:w="1934"/>
      </w:tblGrid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Za </w:t>
            </w: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br/>
              <w:t>odległość</w:t>
            </w:r>
          </w:p>
        </w:tc>
        <w:tc>
          <w:tcPr>
            <w:tcW w:w="491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Ceny biletów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04162" w:rsidRPr="00F04162" w:rsidRDefault="00F04162" w:rsidP="00F04162">
            <w:pP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97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Cena </w:t>
            </w: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br/>
              <w:t>brutto</w:t>
            </w:r>
          </w:p>
        </w:tc>
        <w:tc>
          <w:tcPr>
            <w:tcW w:w="100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>PTU</w:t>
            </w:r>
          </w:p>
        </w:tc>
        <w:tc>
          <w:tcPr>
            <w:tcW w:w="19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Cena </w:t>
            </w: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br/>
              <w:t>netto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04162" w:rsidRPr="00F04162" w:rsidRDefault="00F04162" w:rsidP="00F04162">
            <w:pP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97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04162" w:rsidRPr="00F04162" w:rsidRDefault="00F04162" w:rsidP="00F04162">
            <w:pP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00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04162" w:rsidRPr="00F04162" w:rsidRDefault="00F04162" w:rsidP="00F04162">
            <w:pPr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9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04162" w:rsidRPr="00F04162" w:rsidRDefault="00F04162" w:rsidP="00F04162">
            <w:pPr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04162" w:rsidRPr="00F04162" w:rsidRDefault="00F04162" w:rsidP="00F04162">
            <w:pP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97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04162" w:rsidRPr="00F04162" w:rsidRDefault="00F04162" w:rsidP="00F04162">
            <w:pP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00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04162" w:rsidRPr="00F04162" w:rsidRDefault="00F04162" w:rsidP="00F04162">
            <w:pPr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9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04162" w:rsidRPr="00F04162" w:rsidRDefault="00F04162" w:rsidP="00F04162">
            <w:pPr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w km</w:t>
            </w:r>
          </w:p>
        </w:tc>
        <w:tc>
          <w:tcPr>
            <w:tcW w:w="491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w złotych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do 5</w:t>
            </w:r>
          </w:p>
        </w:tc>
        <w:tc>
          <w:tcPr>
            <w:tcW w:w="19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2,00 </w:t>
            </w:r>
          </w:p>
        </w:tc>
        <w:tc>
          <w:tcPr>
            <w:tcW w:w="10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0,15 </w:t>
            </w:r>
          </w:p>
        </w:tc>
        <w:tc>
          <w:tcPr>
            <w:tcW w:w="19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1,85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6 - 10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0,19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2,31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11 -  15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3,00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0,22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2,78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16 -  20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3,50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0,26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3,24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21 - 25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4,00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0,30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3,70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26 - 30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4,50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0,33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4,17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31 - 35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5,00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0,37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4,63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36 - 40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5,50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0,41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5,09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41 - 45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6,00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0,44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5,56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45 - 50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6,50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0,48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6,02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51 - 55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7,00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0,52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6,48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56 - 60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7,50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0,56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6,94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bookmarkStart w:id="0" w:name="_GoBack" w:colFirst="0" w:colLast="3"/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60 - 70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8,00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0,59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7,41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71 - 80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8,50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0,63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7,87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81 - 90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9,50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0,70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8,80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91 - 100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10,00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0,74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9,26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101 - 110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10,50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0,78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9,72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111 - 120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11,00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0,81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10,19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121 - 140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11,50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0,85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10,65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141 - 160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12,00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0,89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11,11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161 - 180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12,50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0,93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11,57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181 - 200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13,00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0,96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12,04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201 - 220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13,50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1,00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12,50 </w:t>
            </w:r>
          </w:p>
        </w:tc>
      </w:tr>
      <w:bookmarkEnd w:id="0"/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221 - 240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13,75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1,02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12,73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241 - 260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14,00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1,04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12,96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261 - 280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14,25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1,06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13,19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281 - 300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14,50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1,07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13,43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301 - 320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14,75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1,09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13,66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321 - 340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15,00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1,11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13,89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341 - 360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15,25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1,13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14,12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361 - 380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15,50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1,15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14,35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381 - 400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15,75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1,17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14,58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401 - 420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16,00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1,19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14,81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421 - 440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16,25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1,20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15,05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441 - 460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16,50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1,22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15,28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461 - 480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16,75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1,24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15,51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481 - 500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17,00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1,26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15,74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501 - 520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17,25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1,28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15,97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521 - 540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17,50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1,30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16,20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541 - 560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17,75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1,31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16,44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561 - 580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18,00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1,33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16,67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581 - 600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18,25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1,35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16,90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601 - 620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18,50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1,37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17,13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621 - 640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18,75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1,39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17,36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641 - 660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19,00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1,41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17,59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661 - 680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19,25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1,43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17,82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681 - 700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19,50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1,44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18,06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701 - 720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19,75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1,46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18,29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721 - 740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20,00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1,48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18,52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741 - 760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20,25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1,50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18,75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761 - 780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20,50 </w:t>
            </w:r>
          </w:p>
        </w:tc>
        <w:tc>
          <w:tcPr>
            <w:tcW w:w="100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1,52 </w:t>
            </w:r>
          </w:p>
        </w:tc>
        <w:tc>
          <w:tcPr>
            <w:tcW w:w="1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18,98 </w:t>
            </w:r>
          </w:p>
        </w:tc>
      </w:tr>
      <w:tr w:rsidR="00F04162" w:rsidRPr="00F04162" w:rsidTr="00F04162">
        <w:trPr>
          <w:trHeight w:hRule="exact" w:val="227"/>
          <w:jc w:val="center"/>
        </w:trPr>
        <w:tc>
          <w:tcPr>
            <w:tcW w:w="21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781 - 800</w:t>
            </w:r>
          </w:p>
        </w:tc>
        <w:tc>
          <w:tcPr>
            <w:tcW w:w="19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20,75 </w:t>
            </w:r>
          </w:p>
        </w:tc>
        <w:tc>
          <w:tcPr>
            <w:tcW w:w="10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1,54 </w:t>
            </w:r>
          </w:p>
        </w:tc>
        <w:tc>
          <w:tcPr>
            <w:tcW w:w="19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04162" w:rsidRPr="00F04162" w:rsidRDefault="00F04162" w:rsidP="00F04162">
            <w:pPr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F04162">
              <w:rPr>
                <w:rFonts w:eastAsia="Times New Roman" w:cs="Arial"/>
                <w:sz w:val="20"/>
                <w:szCs w:val="20"/>
                <w:lang w:eastAsia="pl-PL"/>
              </w:rPr>
              <w:t xml:space="preserve">19,21 </w:t>
            </w:r>
          </w:p>
        </w:tc>
      </w:tr>
    </w:tbl>
    <w:p w:rsidR="00F04162" w:rsidRPr="00F04162" w:rsidRDefault="00F04162" w:rsidP="00F04162">
      <w:pPr>
        <w:ind w:left="360"/>
        <w:jc w:val="center"/>
        <w:rPr>
          <w:rFonts w:cs="Arial"/>
          <w:b/>
          <w:szCs w:val="24"/>
        </w:rPr>
      </w:pPr>
    </w:p>
    <w:p w:rsidR="00F04162" w:rsidRPr="00F04162" w:rsidRDefault="00F04162" w:rsidP="00F04162">
      <w:pPr>
        <w:spacing w:after="200" w:line="276" w:lineRule="auto"/>
        <w:rPr>
          <w:rFonts w:cs="Arial"/>
          <w:b/>
          <w:szCs w:val="24"/>
        </w:rPr>
      </w:pPr>
      <w:r w:rsidRPr="00F04162">
        <w:rPr>
          <w:rFonts w:cs="Arial"/>
          <w:b/>
          <w:szCs w:val="24"/>
        </w:rPr>
        <w:br w:type="page"/>
      </w:r>
    </w:p>
    <w:p w:rsidR="00F04162" w:rsidRPr="00F04162" w:rsidRDefault="00F04162" w:rsidP="001A4F25">
      <w:pPr>
        <w:pStyle w:val="Nagwek1"/>
      </w:pPr>
      <w:r w:rsidRPr="00F04162">
        <w:lastRenderedPageBreak/>
        <w:t>5.</w:t>
      </w:r>
      <w:r w:rsidRPr="00F04162">
        <w:tab/>
        <w:t>Zmiana umowy przewozu</w:t>
      </w:r>
    </w:p>
    <w:p w:rsidR="00F04162" w:rsidRPr="00F04162" w:rsidRDefault="00F04162" w:rsidP="00663D55">
      <w:pPr>
        <w:spacing w:after="120" w:line="276" w:lineRule="auto"/>
        <w:ind w:left="567" w:hanging="567"/>
        <w:rPr>
          <w:rFonts w:cs="Arial"/>
          <w:szCs w:val="24"/>
        </w:rPr>
      </w:pPr>
      <w:r w:rsidRPr="00F04162">
        <w:rPr>
          <w:rFonts w:cs="Arial"/>
          <w:szCs w:val="24"/>
        </w:rPr>
        <w:t>1.</w:t>
      </w:r>
      <w:r w:rsidRPr="00F04162">
        <w:rPr>
          <w:rFonts w:cs="Arial"/>
          <w:szCs w:val="24"/>
        </w:rPr>
        <w:tab/>
      </w:r>
      <w:r w:rsidRPr="00F04162">
        <w:rPr>
          <w:rFonts w:eastAsia="SimSun" w:cs="Mangal"/>
          <w:color w:val="000000"/>
          <w:kern w:val="1"/>
          <w:szCs w:val="24"/>
          <w:lang w:eastAsia="hi-IN" w:bidi="hi-IN"/>
        </w:rPr>
        <w:t xml:space="preserve">Zmiany umowy przewozu w zakresie przejazdu poza stację przeznaczenia, drogą inną oraz terminu wyjazdu można dokonać na warunkach określonych </w:t>
      </w:r>
      <w:r w:rsidRPr="00F04162">
        <w:rPr>
          <w:rFonts w:eastAsia="SimSun" w:cs="Mangal"/>
          <w:color w:val="000000"/>
          <w:kern w:val="1"/>
          <w:szCs w:val="24"/>
          <w:lang w:eastAsia="hi-IN" w:bidi="hi-IN"/>
        </w:rPr>
        <w:br/>
        <w:t xml:space="preserve">w § 8-11 TP-KŚ oraz </w:t>
      </w:r>
      <w:r w:rsidRPr="00F04162">
        <w:rPr>
          <w:rFonts w:eastAsia="SimSun" w:cs="Arial"/>
          <w:color w:val="000000"/>
          <w:kern w:val="1"/>
          <w:szCs w:val="24"/>
          <w:lang w:eastAsia="hi-IN" w:bidi="hi-IN"/>
        </w:rPr>
        <w:t>§</w:t>
      </w:r>
      <w:r w:rsidRPr="00F04162">
        <w:rPr>
          <w:rFonts w:eastAsia="SimSun" w:cs="Mangal"/>
          <w:color w:val="000000"/>
          <w:kern w:val="1"/>
          <w:szCs w:val="24"/>
          <w:lang w:eastAsia="hi-IN" w:bidi="hi-IN"/>
        </w:rPr>
        <w:t xml:space="preserve"> 12 ust. 4 RPO-KŚ</w:t>
      </w:r>
      <w:r w:rsidRPr="00F04162">
        <w:rPr>
          <w:rFonts w:cs="Arial"/>
          <w:szCs w:val="24"/>
        </w:rPr>
        <w:t>.</w:t>
      </w:r>
    </w:p>
    <w:p w:rsidR="00F04162" w:rsidRPr="00F04162" w:rsidRDefault="00F04162" w:rsidP="00663D55">
      <w:pPr>
        <w:spacing w:after="120" w:line="276" w:lineRule="auto"/>
        <w:ind w:left="567" w:hanging="567"/>
        <w:rPr>
          <w:rFonts w:cs="Arial"/>
          <w:szCs w:val="24"/>
        </w:rPr>
      </w:pPr>
      <w:r w:rsidRPr="00F04162">
        <w:rPr>
          <w:rFonts w:cs="Arial"/>
          <w:szCs w:val="24"/>
        </w:rPr>
        <w:t>2.</w:t>
      </w:r>
      <w:r w:rsidRPr="00F04162">
        <w:rPr>
          <w:rFonts w:cs="Arial"/>
          <w:szCs w:val="24"/>
        </w:rPr>
        <w:tab/>
      </w:r>
      <w:r w:rsidRPr="00F04162">
        <w:rPr>
          <w:rFonts w:eastAsia="SimSun" w:cs="Mangal"/>
          <w:color w:val="000000"/>
          <w:kern w:val="1"/>
          <w:szCs w:val="24"/>
          <w:lang w:eastAsia="hi-IN" w:bidi="hi-IN"/>
        </w:rPr>
        <w:t>Przejście do pociągu innego przewoźnika nie jest dozwolone.</w:t>
      </w:r>
    </w:p>
    <w:p w:rsidR="00F04162" w:rsidRPr="00F04162" w:rsidRDefault="00F04162" w:rsidP="001A4F25">
      <w:pPr>
        <w:pStyle w:val="Nagwek1"/>
      </w:pPr>
      <w:r w:rsidRPr="00F04162">
        <w:t>6.</w:t>
      </w:r>
      <w:r w:rsidRPr="00F04162">
        <w:tab/>
        <w:t>Inne</w:t>
      </w:r>
    </w:p>
    <w:p w:rsidR="00F04162" w:rsidRPr="00F04162" w:rsidRDefault="00F04162" w:rsidP="00E677C1">
      <w:pPr>
        <w:spacing w:before="120" w:after="120" w:line="276" w:lineRule="auto"/>
        <w:rPr>
          <w:rFonts w:cs="Arial"/>
          <w:szCs w:val="24"/>
        </w:rPr>
      </w:pPr>
      <w:r w:rsidRPr="00F04162">
        <w:rPr>
          <w:rFonts w:cs="Arial"/>
          <w:szCs w:val="24"/>
        </w:rPr>
        <w:t>W sprawach nieuregulowanych w niniejszych warunkach stosuje się odpowiednie postanowienia Regulaminu przewozu osób, zwierząt i rzeczy przez Koleje Śląskie (RPO-KŚ) oraz Taryfy przewozowej (TP-KŚ).</w:t>
      </w:r>
    </w:p>
    <w:p w:rsidR="00F04162" w:rsidRPr="00F04162" w:rsidRDefault="00F04162" w:rsidP="00F04162">
      <w:pPr>
        <w:spacing w:before="120" w:after="120" w:line="276" w:lineRule="auto"/>
        <w:jc w:val="both"/>
        <w:rPr>
          <w:rFonts w:cs="Arial"/>
          <w:szCs w:val="24"/>
        </w:rPr>
      </w:pPr>
    </w:p>
    <w:p w:rsidR="00663D55" w:rsidRDefault="00663D55">
      <w:pPr>
        <w:spacing w:after="200" w:line="276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663D55" w:rsidRDefault="00663D55" w:rsidP="00404C19">
      <w:pPr>
        <w:spacing w:line="276" w:lineRule="auto"/>
        <w:jc w:val="right"/>
        <w:rPr>
          <w:rFonts w:eastAsia="Times New Roman" w:cs="Arial"/>
          <w:bCs/>
          <w:szCs w:val="24"/>
          <w:lang w:eastAsia="pl-PL"/>
        </w:rPr>
      </w:pPr>
      <w:r w:rsidRPr="00663D55">
        <w:rPr>
          <w:rFonts w:eastAsia="Times New Roman" w:cs="Arial"/>
          <w:bCs/>
          <w:szCs w:val="24"/>
          <w:lang w:eastAsia="pl-PL"/>
        </w:rPr>
        <w:lastRenderedPageBreak/>
        <w:t>Załącznik 1</w:t>
      </w:r>
    </w:p>
    <w:p w:rsidR="00663D55" w:rsidRDefault="00663D55" w:rsidP="00404C19">
      <w:pPr>
        <w:spacing w:line="276" w:lineRule="auto"/>
        <w:jc w:val="right"/>
        <w:rPr>
          <w:rFonts w:eastAsia="Times New Roman" w:cs="Arial"/>
          <w:bCs/>
          <w:szCs w:val="24"/>
          <w:lang w:eastAsia="pl-PL"/>
        </w:rPr>
      </w:pPr>
      <w:r>
        <w:rPr>
          <w:rFonts w:eastAsia="Times New Roman" w:cs="Arial"/>
          <w:bCs/>
          <w:szCs w:val="24"/>
          <w:lang w:eastAsia="pl-PL"/>
        </w:rPr>
        <w:t xml:space="preserve">do oferty specjalnej </w:t>
      </w:r>
    </w:p>
    <w:p w:rsidR="00663D55" w:rsidRPr="00663D55" w:rsidRDefault="00663D55" w:rsidP="00404C19">
      <w:pPr>
        <w:spacing w:line="276" w:lineRule="auto"/>
        <w:jc w:val="right"/>
        <w:rPr>
          <w:rFonts w:eastAsia="Times New Roman" w:cs="Arial"/>
          <w:bCs/>
          <w:szCs w:val="24"/>
          <w:lang w:eastAsia="pl-PL"/>
        </w:rPr>
      </w:pPr>
      <w:r>
        <w:rPr>
          <w:rFonts w:eastAsia="Times New Roman" w:cs="Arial"/>
          <w:bCs/>
          <w:szCs w:val="24"/>
          <w:lang w:eastAsia="pl-PL"/>
        </w:rPr>
        <w:t>Śląskie dla rodziny – Karta Dużej Rodziny</w:t>
      </w:r>
    </w:p>
    <w:p w:rsidR="00663D55" w:rsidRPr="00663D55" w:rsidRDefault="00663D55" w:rsidP="00E677C1">
      <w:pPr>
        <w:pStyle w:val="Nagwek1"/>
        <w:spacing w:before="720" w:after="720"/>
        <w:ind w:left="992" w:hanging="635"/>
        <w:rPr>
          <w:lang w:eastAsia="pl-PL"/>
        </w:rPr>
      </w:pPr>
      <w:r w:rsidRPr="00663D55">
        <w:rPr>
          <w:lang w:eastAsia="pl-PL"/>
        </w:rPr>
        <w:t>KARTA DUŻEJ RODZINY</w:t>
      </w:r>
    </w:p>
    <w:p w:rsidR="00663D55" w:rsidRPr="00663D55" w:rsidRDefault="00663D55" w:rsidP="00663D55">
      <w:pPr>
        <w:widowControl w:val="0"/>
        <w:suppressAutoHyphens/>
        <w:rPr>
          <w:rFonts w:eastAsia="Calibri" w:cs="Arial"/>
          <w:i/>
          <w:sz w:val="20"/>
          <w:szCs w:val="20"/>
        </w:rPr>
      </w:pPr>
      <w:r>
        <w:rPr>
          <w:rFonts w:eastAsia="Calibri" w:cs="Arial"/>
          <w:i/>
          <w:noProof/>
          <w:sz w:val="20"/>
          <w:szCs w:val="20"/>
          <w:lang w:eastAsia="pl-PL"/>
        </w:rPr>
        <w:drawing>
          <wp:inline distT="0" distB="0" distL="0" distR="0">
            <wp:extent cx="2802488" cy="179429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16" cy="17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7C1">
        <w:rPr>
          <w:rFonts w:eastAsia="Calibri" w:cs="Arial"/>
          <w:i/>
          <w:sz w:val="20"/>
          <w:szCs w:val="20"/>
        </w:rPr>
        <w:t xml:space="preserve">      </w:t>
      </w:r>
      <w:r>
        <w:rPr>
          <w:rFonts w:eastAsia="Calibri" w:cs="Arial"/>
          <w:i/>
          <w:noProof/>
          <w:sz w:val="20"/>
          <w:szCs w:val="20"/>
          <w:lang w:eastAsia="pl-PL"/>
        </w:rPr>
        <w:drawing>
          <wp:inline distT="0" distB="0" distL="0" distR="0">
            <wp:extent cx="2743200" cy="1765558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62" cy="176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D55" w:rsidRPr="00663D55" w:rsidRDefault="00663D55" w:rsidP="00E677C1">
      <w:pPr>
        <w:autoSpaceDE w:val="0"/>
        <w:autoSpaceDN w:val="0"/>
        <w:adjustRightInd w:val="0"/>
        <w:spacing w:before="600" w:line="360" w:lineRule="exact"/>
        <w:jc w:val="both"/>
        <w:rPr>
          <w:rFonts w:eastAsia="Calibri" w:cs="Arial"/>
          <w:i/>
          <w:szCs w:val="24"/>
        </w:rPr>
      </w:pPr>
      <w:r w:rsidRPr="00663D55">
        <w:rPr>
          <w:rFonts w:eastAsia="Calibri" w:cs="Arial"/>
          <w:szCs w:val="24"/>
          <w:lang w:eastAsia="pl-PL"/>
        </w:rPr>
        <w:t>Karta ma wymiary 54 × 85,6 mm, jest wykonana z tworzywa sztucznego, zawiera imię oraz nazwisko członka rodziny wielodzietnej, numer PESEL członka rodziny wielodzietnej (albo numer dokumentu potwierdzającego tożsamość w przypadku, gdy nie nadano numeru PESEL), termin ważności Karty, numer logo rodziny wielodzietnej, skrót „KDR” pisany alfabetem Braille`a oraz elementy zabezpieczające dokument przed podrobieniem i sfałszowaniem.</w:t>
      </w:r>
    </w:p>
    <w:p w:rsidR="00F04162" w:rsidRPr="00F04162" w:rsidRDefault="00F04162" w:rsidP="00F04162">
      <w:pPr>
        <w:spacing w:after="200" w:line="276" w:lineRule="auto"/>
        <w:rPr>
          <w:rFonts w:cs="Arial"/>
          <w:szCs w:val="24"/>
        </w:rPr>
      </w:pPr>
    </w:p>
    <w:sectPr w:rsidR="00F04162" w:rsidRPr="00F04162" w:rsidSect="008D4FA3"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418" w:right="1418" w:bottom="1134" w:left="1418" w:header="79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CC0" w:rsidRDefault="005E4CC0" w:rsidP="00590051">
      <w:r>
        <w:separator/>
      </w:r>
    </w:p>
  </w:endnote>
  <w:endnote w:type="continuationSeparator" w:id="0">
    <w:p w:rsidR="005E4CC0" w:rsidRDefault="005E4CC0" w:rsidP="00590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D55" w:rsidRDefault="00663D55" w:rsidP="00F0416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63D55" w:rsidRDefault="00663D5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D55" w:rsidRPr="00545453" w:rsidRDefault="00663D55" w:rsidP="00F04162">
    <w:pPr>
      <w:pStyle w:val="Stopka"/>
      <w:framePr w:wrap="around" w:vAnchor="text" w:hAnchor="margin" w:xAlign="center" w:y="1"/>
      <w:rPr>
        <w:rStyle w:val="Numerstrony"/>
        <w:rFonts w:cs="Arial"/>
        <w:sz w:val="24"/>
        <w:szCs w:val="24"/>
      </w:rPr>
    </w:pPr>
  </w:p>
  <w:p w:rsidR="00663D55" w:rsidRPr="0023068B" w:rsidRDefault="00663D55" w:rsidP="0036097C">
    <w:pPr>
      <w:spacing w:before="100"/>
      <w:ind w:right="-851"/>
      <w:jc w:val="right"/>
      <w:rPr>
        <w:i/>
        <w:color w:val="0D0D0D" w:themeColor="text1" w:themeTint="F2"/>
        <w:sz w:val="16"/>
        <w:szCs w:val="16"/>
      </w:rPr>
    </w:pPr>
    <w:r w:rsidRPr="0023068B">
      <w:rPr>
        <w:i/>
        <w:color w:val="0D0D0D" w:themeColor="text1" w:themeTint="F2"/>
        <w:sz w:val="16"/>
        <w:szCs w:val="16"/>
      </w:rPr>
      <w:t xml:space="preserve">strona </w:t>
    </w:r>
    <w:r w:rsidRPr="0023068B">
      <w:rPr>
        <w:i/>
        <w:color w:val="0D0D0D" w:themeColor="text1" w:themeTint="F2"/>
        <w:sz w:val="16"/>
        <w:szCs w:val="16"/>
      </w:rPr>
      <w:fldChar w:fldCharType="begin"/>
    </w:r>
    <w:r w:rsidRPr="0023068B">
      <w:rPr>
        <w:i/>
        <w:color w:val="0D0D0D" w:themeColor="text1" w:themeTint="F2"/>
        <w:sz w:val="16"/>
        <w:szCs w:val="16"/>
      </w:rPr>
      <w:instrText xml:space="preserve"> PAGE   \* MERGEFORMAT </w:instrText>
    </w:r>
    <w:r w:rsidRPr="0023068B">
      <w:rPr>
        <w:i/>
        <w:color w:val="0D0D0D" w:themeColor="text1" w:themeTint="F2"/>
        <w:sz w:val="16"/>
        <w:szCs w:val="16"/>
      </w:rPr>
      <w:fldChar w:fldCharType="separate"/>
    </w:r>
    <w:r w:rsidR="00D340ED">
      <w:rPr>
        <w:i/>
        <w:noProof/>
        <w:color w:val="0D0D0D" w:themeColor="text1" w:themeTint="F2"/>
        <w:sz w:val="16"/>
        <w:szCs w:val="16"/>
      </w:rPr>
      <w:t>5</w:t>
    </w:r>
    <w:r w:rsidRPr="0023068B">
      <w:rPr>
        <w:i/>
        <w:color w:val="0D0D0D" w:themeColor="text1" w:themeTint="F2"/>
        <w:sz w:val="16"/>
        <w:szCs w:val="16"/>
      </w:rPr>
      <w:fldChar w:fldCharType="end"/>
    </w:r>
    <w:r w:rsidRPr="0023068B">
      <w:rPr>
        <w:i/>
        <w:color w:val="0D0D0D" w:themeColor="text1" w:themeTint="F2"/>
        <w:sz w:val="16"/>
        <w:szCs w:val="16"/>
      </w:rPr>
      <w:t xml:space="preserve"> z </w:t>
    </w:r>
    <w:r w:rsidRPr="0023068B">
      <w:rPr>
        <w:i/>
        <w:color w:val="0D0D0D" w:themeColor="text1" w:themeTint="F2"/>
        <w:sz w:val="16"/>
        <w:szCs w:val="16"/>
      </w:rPr>
      <w:fldChar w:fldCharType="begin"/>
    </w:r>
    <w:r w:rsidRPr="0023068B">
      <w:rPr>
        <w:i/>
        <w:color w:val="0D0D0D" w:themeColor="text1" w:themeTint="F2"/>
        <w:sz w:val="16"/>
        <w:szCs w:val="16"/>
      </w:rPr>
      <w:instrText xml:space="preserve"> NUMPAGES   \* MERGEFORMAT </w:instrText>
    </w:r>
    <w:r w:rsidRPr="0023068B">
      <w:rPr>
        <w:i/>
        <w:color w:val="0D0D0D" w:themeColor="text1" w:themeTint="F2"/>
        <w:sz w:val="16"/>
        <w:szCs w:val="16"/>
      </w:rPr>
      <w:fldChar w:fldCharType="separate"/>
    </w:r>
    <w:r w:rsidR="00D340ED">
      <w:rPr>
        <w:i/>
        <w:noProof/>
        <w:color w:val="0D0D0D" w:themeColor="text1" w:themeTint="F2"/>
        <w:sz w:val="16"/>
        <w:szCs w:val="16"/>
      </w:rPr>
      <w:t>6</w:t>
    </w:r>
    <w:r w:rsidRPr="0023068B">
      <w:rPr>
        <w:i/>
        <w:color w:val="0D0D0D" w:themeColor="text1" w:themeTint="F2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CC0" w:rsidRDefault="005E4CC0" w:rsidP="00590051">
      <w:r>
        <w:separator/>
      </w:r>
    </w:p>
  </w:footnote>
  <w:footnote w:type="continuationSeparator" w:id="0">
    <w:p w:rsidR="005E4CC0" w:rsidRDefault="005E4CC0" w:rsidP="005900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D55" w:rsidRPr="0083327A" w:rsidRDefault="00663D55" w:rsidP="0036097C">
    <w:pPr>
      <w:pStyle w:val="Nagwek"/>
      <w:tabs>
        <w:tab w:val="clear" w:pos="9072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551E347" wp14:editId="4188FD66">
          <wp:simplePos x="0" y="0"/>
          <wp:positionH relativeFrom="column">
            <wp:posOffset>-208915</wp:posOffset>
          </wp:positionH>
          <wp:positionV relativeFrom="paragraph">
            <wp:posOffset>-350520</wp:posOffset>
          </wp:positionV>
          <wp:extent cx="2310527" cy="6480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SL_mini-150DP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0527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D55" w:rsidRPr="0083327A" w:rsidRDefault="00663D55" w:rsidP="00762044">
    <w:pPr>
      <w:pStyle w:val="Nagwek"/>
      <w:tabs>
        <w:tab w:val="clear" w:pos="4536"/>
        <w:tab w:val="clear" w:pos="9072"/>
        <w:tab w:val="right" w:pos="9070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1311" behindDoc="0" locked="0" layoutInCell="1" allowOverlap="1" wp14:anchorId="10FB2106" wp14:editId="0D2EA63E">
          <wp:simplePos x="0" y="0"/>
          <wp:positionH relativeFrom="column">
            <wp:posOffset>-202921</wp:posOffset>
          </wp:positionH>
          <wp:positionV relativeFrom="paragraph">
            <wp:posOffset>-351155</wp:posOffset>
          </wp:positionV>
          <wp:extent cx="2303780" cy="649605"/>
          <wp:effectExtent l="0" t="0" r="1270" b="0"/>
          <wp:wrapNone/>
          <wp:docPr id="5" name="Obraz 5" descr="C:\Users\rmiszak\Desktop\logo K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miszak\Desktop\logo K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78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  <w:t>Stan na 1 lipca 2016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31A"/>
    <w:multiLevelType w:val="hybridMultilevel"/>
    <w:tmpl w:val="5EA41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B62550"/>
    <w:multiLevelType w:val="hybridMultilevel"/>
    <w:tmpl w:val="A6583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419EE"/>
    <w:multiLevelType w:val="hybridMultilevel"/>
    <w:tmpl w:val="44303BA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D712B0F"/>
    <w:multiLevelType w:val="hybridMultilevel"/>
    <w:tmpl w:val="01B8562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4E75EAA"/>
    <w:multiLevelType w:val="hybridMultilevel"/>
    <w:tmpl w:val="0420B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0279A"/>
    <w:multiLevelType w:val="hybridMultilevel"/>
    <w:tmpl w:val="0F2EC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44352B"/>
    <w:multiLevelType w:val="hybridMultilevel"/>
    <w:tmpl w:val="C316C01C"/>
    <w:lvl w:ilvl="0" w:tplc="3E3042B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34B23"/>
    <w:multiLevelType w:val="hybridMultilevel"/>
    <w:tmpl w:val="8774ED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6F463F"/>
    <w:multiLevelType w:val="hybridMultilevel"/>
    <w:tmpl w:val="5BA2EE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D40EE"/>
    <w:multiLevelType w:val="hybridMultilevel"/>
    <w:tmpl w:val="92C64C0C"/>
    <w:lvl w:ilvl="0" w:tplc="0415000F">
      <w:start w:val="1"/>
      <w:numFmt w:val="decimal"/>
      <w:lvlText w:val="%1."/>
      <w:lvlJc w:val="left"/>
      <w:pPr>
        <w:ind w:left="1141" w:hanging="360"/>
      </w:pPr>
    </w:lvl>
    <w:lvl w:ilvl="1" w:tplc="04150019" w:tentative="1">
      <w:start w:val="1"/>
      <w:numFmt w:val="lowerLetter"/>
      <w:lvlText w:val="%2."/>
      <w:lvlJc w:val="left"/>
      <w:pPr>
        <w:ind w:left="1861" w:hanging="360"/>
      </w:pPr>
    </w:lvl>
    <w:lvl w:ilvl="2" w:tplc="0415001B" w:tentative="1">
      <w:start w:val="1"/>
      <w:numFmt w:val="lowerRoman"/>
      <w:lvlText w:val="%3."/>
      <w:lvlJc w:val="right"/>
      <w:pPr>
        <w:ind w:left="2581" w:hanging="180"/>
      </w:pPr>
    </w:lvl>
    <w:lvl w:ilvl="3" w:tplc="0415000F" w:tentative="1">
      <w:start w:val="1"/>
      <w:numFmt w:val="decimal"/>
      <w:lvlText w:val="%4."/>
      <w:lvlJc w:val="left"/>
      <w:pPr>
        <w:ind w:left="3301" w:hanging="360"/>
      </w:pPr>
    </w:lvl>
    <w:lvl w:ilvl="4" w:tplc="04150019" w:tentative="1">
      <w:start w:val="1"/>
      <w:numFmt w:val="lowerLetter"/>
      <w:lvlText w:val="%5."/>
      <w:lvlJc w:val="left"/>
      <w:pPr>
        <w:ind w:left="4021" w:hanging="360"/>
      </w:pPr>
    </w:lvl>
    <w:lvl w:ilvl="5" w:tplc="0415001B" w:tentative="1">
      <w:start w:val="1"/>
      <w:numFmt w:val="lowerRoman"/>
      <w:lvlText w:val="%6."/>
      <w:lvlJc w:val="right"/>
      <w:pPr>
        <w:ind w:left="4741" w:hanging="180"/>
      </w:pPr>
    </w:lvl>
    <w:lvl w:ilvl="6" w:tplc="0415000F" w:tentative="1">
      <w:start w:val="1"/>
      <w:numFmt w:val="decimal"/>
      <w:lvlText w:val="%7."/>
      <w:lvlJc w:val="left"/>
      <w:pPr>
        <w:ind w:left="5461" w:hanging="360"/>
      </w:pPr>
    </w:lvl>
    <w:lvl w:ilvl="7" w:tplc="04150019" w:tentative="1">
      <w:start w:val="1"/>
      <w:numFmt w:val="lowerLetter"/>
      <w:lvlText w:val="%8."/>
      <w:lvlJc w:val="left"/>
      <w:pPr>
        <w:ind w:left="6181" w:hanging="360"/>
      </w:pPr>
    </w:lvl>
    <w:lvl w:ilvl="8" w:tplc="0415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0">
    <w:nsid w:val="744E2208"/>
    <w:multiLevelType w:val="hybridMultilevel"/>
    <w:tmpl w:val="A62082D6"/>
    <w:lvl w:ilvl="0" w:tplc="0415000F">
      <w:start w:val="1"/>
      <w:numFmt w:val="decimal"/>
      <w:lvlText w:val="%1."/>
      <w:lvlJc w:val="left"/>
      <w:pPr>
        <w:ind w:left="1141" w:hanging="360"/>
      </w:pPr>
    </w:lvl>
    <w:lvl w:ilvl="1" w:tplc="04150019" w:tentative="1">
      <w:start w:val="1"/>
      <w:numFmt w:val="lowerLetter"/>
      <w:lvlText w:val="%2."/>
      <w:lvlJc w:val="left"/>
      <w:pPr>
        <w:ind w:left="1861" w:hanging="360"/>
      </w:pPr>
    </w:lvl>
    <w:lvl w:ilvl="2" w:tplc="0415001B" w:tentative="1">
      <w:start w:val="1"/>
      <w:numFmt w:val="lowerRoman"/>
      <w:lvlText w:val="%3."/>
      <w:lvlJc w:val="right"/>
      <w:pPr>
        <w:ind w:left="2581" w:hanging="180"/>
      </w:pPr>
    </w:lvl>
    <w:lvl w:ilvl="3" w:tplc="0415000F" w:tentative="1">
      <w:start w:val="1"/>
      <w:numFmt w:val="decimal"/>
      <w:lvlText w:val="%4."/>
      <w:lvlJc w:val="left"/>
      <w:pPr>
        <w:ind w:left="3301" w:hanging="360"/>
      </w:pPr>
    </w:lvl>
    <w:lvl w:ilvl="4" w:tplc="04150019" w:tentative="1">
      <w:start w:val="1"/>
      <w:numFmt w:val="lowerLetter"/>
      <w:lvlText w:val="%5."/>
      <w:lvlJc w:val="left"/>
      <w:pPr>
        <w:ind w:left="4021" w:hanging="360"/>
      </w:pPr>
    </w:lvl>
    <w:lvl w:ilvl="5" w:tplc="0415001B" w:tentative="1">
      <w:start w:val="1"/>
      <w:numFmt w:val="lowerRoman"/>
      <w:lvlText w:val="%6."/>
      <w:lvlJc w:val="right"/>
      <w:pPr>
        <w:ind w:left="4741" w:hanging="180"/>
      </w:pPr>
    </w:lvl>
    <w:lvl w:ilvl="6" w:tplc="0415000F" w:tentative="1">
      <w:start w:val="1"/>
      <w:numFmt w:val="decimal"/>
      <w:lvlText w:val="%7."/>
      <w:lvlJc w:val="left"/>
      <w:pPr>
        <w:ind w:left="5461" w:hanging="360"/>
      </w:pPr>
    </w:lvl>
    <w:lvl w:ilvl="7" w:tplc="04150019" w:tentative="1">
      <w:start w:val="1"/>
      <w:numFmt w:val="lowerLetter"/>
      <w:lvlText w:val="%8."/>
      <w:lvlJc w:val="left"/>
      <w:pPr>
        <w:ind w:left="6181" w:hanging="360"/>
      </w:pPr>
    </w:lvl>
    <w:lvl w:ilvl="8" w:tplc="0415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1">
    <w:nsid w:val="79AF7C68"/>
    <w:multiLevelType w:val="hybridMultilevel"/>
    <w:tmpl w:val="E870D8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8"/>
  </w:num>
  <w:num w:numId="5">
    <w:abstractNumId w:val="4"/>
  </w:num>
  <w:num w:numId="6">
    <w:abstractNumId w:val="0"/>
  </w:num>
  <w:num w:numId="7">
    <w:abstractNumId w:val="10"/>
  </w:num>
  <w:num w:numId="8">
    <w:abstractNumId w:val="9"/>
  </w:num>
  <w:num w:numId="9">
    <w:abstractNumId w:val="3"/>
  </w:num>
  <w:num w:numId="10">
    <w:abstractNumId w:val="6"/>
  </w:num>
  <w:num w:numId="11">
    <w:abstractNumId w:val="7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051"/>
    <w:rsid w:val="000267E3"/>
    <w:rsid w:val="00030DBC"/>
    <w:rsid w:val="0003333F"/>
    <w:rsid w:val="00041E55"/>
    <w:rsid w:val="00063C86"/>
    <w:rsid w:val="00071FB5"/>
    <w:rsid w:val="000B7D9C"/>
    <w:rsid w:val="000E6232"/>
    <w:rsid w:val="00126C21"/>
    <w:rsid w:val="001855BD"/>
    <w:rsid w:val="0019421F"/>
    <w:rsid w:val="001A4F25"/>
    <w:rsid w:val="001B2FFF"/>
    <w:rsid w:val="001B706B"/>
    <w:rsid w:val="001C703B"/>
    <w:rsid w:val="001E50FC"/>
    <w:rsid w:val="001E743A"/>
    <w:rsid w:val="00212B68"/>
    <w:rsid w:val="0022610B"/>
    <w:rsid w:val="0023068B"/>
    <w:rsid w:val="00233FE9"/>
    <w:rsid w:val="00267CD8"/>
    <w:rsid w:val="002779C1"/>
    <w:rsid w:val="002813B2"/>
    <w:rsid w:val="002963F7"/>
    <w:rsid w:val="00296F2C"/>
    <w:rsid w:val="002C4E0E"/>
    <w:rsid w:val="002D736A"/>
    <w:rsid w:val="002E5A7A"/>
    <w:rsid w:val="002F1438"/>
    <w:rsid w:val="002F1853"/>
    <w:rsid w:val="0036097C"/>
    <w:rsid w:val="00364B29"/>
    <w:rsid w:val="0037798D"/>
    <w:rsid w:val="00382999"/>
    <w:rsid w:val="003A7313"/>
    <w:rsid w:val="003C22B8"/>
    <w:rsid w:val="003D2421"/>
    <w:rsid w:val="00404C19"/>
    <w:rsid w:val="00414FE5"/>
    <w:rsid w:val="0041621B"/>
    <w:rsid w:val="0043217E"/>
    <w:rsid w:val="00481EAD"/>
    <w:rsid w:val="00485752"/>
    <w:rsid w:val="00496A1A"/>
    <w:rsid w:val="00496B16"/>
    <w:rsid w:val="004B65D7"/>
    <w:rsid w:val="004B704D"/>
    <w:rsid w:val="00500F40"/>
    <w:rsid w:val="005141C4"/>
    <w:rsid w:val="00547A05"/>
    <w:rsid w:val="00583F7B"/>
    <w:rsid w:val="00590051"/>
    <w:rsid w:val="005D2783"/>
    <w:rsid w:val="005E1197"/>
    <w:rsid w:val="005E4CC0"/>
    <w:rsid w:val="005E5AB9"/>
    <w:rsid w:val="00653D00"/>
    <w:rsid w:val="0066251B"/>
    <w:rsid w:val="00663D55"/>
    <w:rsid w:val="006840A5"/>
    <w:rsid w:val="006B0666"/>
    <w:rsid w:val="006E034A"/>
    <w:rsid w:val="006E2B10"/>
    <w:rsid w:val="00736178"/>
    <w:rsid w:val="0076173A"/>
    <w:rsid w:val="00762044"/>
    <w:rsid w:val="007B7F94"/>
    <w:rsid w:val="007E23AE"/>
    <w:rsid w:val="008044D8"/>
    <w:rsid w:val="00813D28"/>
    <w:rsid w:val="00831445"/>
    <w:rsid w:val="0083327A"/>
    <w:rsid w:val="008462E6"/>
    <w:rsid w:val="008506AF"/>
    <w:rsid w:val="00860114"/>
    <w:rsid w:val="00873451"/>
    <w:rsid w:val="008918C6"/>
    <w:rsid w:val="008A10DE"/>
    <w:rsid w:val="008A15C7"/>
    <w:rsid w:val="008C6C1F"/>
    <w:rsid w:val="008D4FA3"/>
    <w:rsid w:val="008F733A"/>
    <w:rsid w:val="00930E86"/>
    <w:rsid w:val="0095402C"/>
    <w:rsid w:val="009814A4"/>
    <w:rsid w:val="0098505C"/>
    <w:rsid w:val="009A2FD4"/>
    <w:rsid w:val="009B75A5"/>
    <w:rsid w:val="009D0CE3"/>
    <w:rsid w:val="009D6F6D"/>
    <w:rsid w:val="00A1384E"/>
    <w:rsid w:val="00A21919"/>
    <w:rsid w:val="00A31E14"/>
    <w:rsid w:val="00A43C1E"/>
    <w:rsid w:val="00A86C45"/>
    <w:rsid w:val="00A916E7"/>
    <w:rsid w:val="00A9214D"/>
    <w:rsid w:val="00AA1983"/>
    <w:rsid w:val="00AB0111"/>
    <w:rsid w:val="00AB658A"/>
    <w:rsid w:val="00AC7C5B"/>
    <w:rsid w:val="00AC7E55"/>
    <w:rsid w:val="00AE5844"/>
    <w:rsid w:val="00B02819"/>
    <w:rsid w:val="00B068B7"/>
    <w:rsid w:val="00B356C0"/>
    <w:rsid w:val="00B63904"/>
    <w:rsid w:val="00B86139"/>
    <w:rsid w:val="00B87BEE"/>
    <w:rsid w:val="00B95326"/>
    <w:rsid w:val="00B9759D"/>
    <w:rsid w:val="00BA29F9"/>
    <w:rsid w:val="00BC3D5F"/>
    <w:rsid w:val="00BE13FB"/>
    <w:rsid w:val="00BF4271"/>
    <w:rsid w:val="00C05A70"/>
    <w:rsid w:val="00C244A1"/>
    <w:rsid w:val="00C41A52"/>
    <w:rsid w:val="00C619E2"/>
    <w:rsid w:val="00C67304"/>
    <w:rsid w:val="00C92B9C"/>
    <w:rsid w:val="00CA18D4"/>
    <w:rsid w:val="00CA288D"/>
    <w:rsid w:val="00CA78E1"/>
    <w:rsid w:val="00CB1DCC"/>
    <w:rsid w:val="00CB2653"/>
    <w:rsid w:val="00CF4856"/>
    <w:rsid w:val="00D0332C"/>
    <w:rsid w:val="00D109C0"/>
    <w:rsid w:val="00D340ED"/>
    <w:rsid w:val="00D36604"/>
    <w:rsid w:val="00D3799F"/>
    <w:rsid w:val="00D40497"/>
    <w:rsid w:val="00D4246C"/>
    <w:rsid w:val="00D61766"/>
    <w:rsid w:val="00DB1096"/>
    <w:rsid w:val="00DE22C4"/>
    <w:rsid w:val="00E1070B"/>
    <w:rsid w:val="00E618B1"/>
    <w:rsid w:val="00E677C1"/>
    <w:rsid w:val="00E83DB4"/>
    <w:rsid w:val="00E866E7"/>
    <w:rsid w:val="00EF0FAC"/>
    <w:rsid w:val="00EF6515"/>
    <w:rsid w:val="00F04162"/>
    <w:rsid w:val="00F06F6F"/>
    <w:rsid w:val="00F32CB1"/>
    <w:rsid w:val="00F507A6"/>
    <w:rsid w:val="00F615C4"/>
    <w:rsid w:val="00F84A06"/>
    <w:rsid w:val="00FA0809"/>
    <w:rsid w:val="00FB0177"/>
    <w:rsid w:val="00FC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0051"/>
    <w:pPr>
      <w:spacing w:after="0" w:line="240" w:lineRule="auto"/>
    </w:pPr>
  </w:style>
  <w:style w:type="paragraph" w:styleId="Nagwek1">
    <w:name w:val="heading 1"/>
    <w:basedOn w:val="Nagwek2"/>
    <w:next w:val="Normalny"/>
    <w:link w:val="Nagwek1Znak"/>
    <w:uiPriority w:val="9"/>
    <w:qFormat/>
    <w:rsid w:val="001A4F25"/>
    <w:pPr>
      <w:spacing w:before="360" w:after="360" w:line="360" w:lineRule="exact"/>
      <w:ind w:left="993" w:hanging="636"/>
      <w:outlineLvl w:val="0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A4F25"/>
    <w:pPr>
      <w:spacing w:after="120"/>
      <w:ind w:left="357"/>
      <w:jc w:val="center"/>
      <w:outlineLvl w:val="1"/>
    </w:pPr>
    <w:rPr>
      <w:rFonts w:cs="Arial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Numerstrony">
    <w:name w:val="page number"/>
    <w:basedOn w:val="Domylnaczcionkaakapitu"/>
    <w:rsid w:val="00590051"/>
  </w:style>
  <w:style w:type="paragraph" w:styleId="Tekstdymka">
    <w:name w:val="Balloon Text"/>
    <w:basedOn w:val="Normalny"/>
    <w:link w:val="TekstdymkaZnak"/>
    <w:uiPriority w:val="99"/>
    <w:semiHidden/>
    <w:unhideWhenUsed/>
    <w:rsid w:val="005900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051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A86C45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A1384E"/>
    <w:pPr>
      <w:jc w:val="both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1384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E6232"/>
    <w:pPr>
      <w:spacing w:after="0" w:line="240" w:lineRule="auto"/>
    </w:pPr>
    <w:rPr>
      <w:rFonts w:ascii="Calibri" w:eastAsia="Times New Roman" w:hAnsi="Calibri"/>
      <w:lang w:eastAsia="pl-PL"/>
    </w:rPr>
  </w:style>
  <w:style w:type="character" w:styleId="Hipercze">
    <w:name w:val="Hyperlink"/>
    <w:basedOn w:val="Domylnaczcionkaakapitu"/>
    <w:uiPriority w:val="99"/>
    <w:unhideWhenUsed/>
    <w:rsid w:val="002F185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1A4F25"/>
    <w:rPr>
      <w:rFonts w:cs="Arial"/>
      <w:b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A4F25"/>
    <w:rPr>
      <w:rFonts w:cs="Arial"/>
      <w:b/>
      <w:szCs w:val="24"/>
    </w:rPr>
  </w:style>
  <w:style w:type="paragraph" w:styleId="Tytu">
    <w:name w:val="Title"/>
    <w:basedOn w:val="Nagwek1"/>
    <w:next w:val="Normalny"/>
    <w:link w:val="TytuZnak"/>
    <w:uiPriority w:val="10"/>
    <w:qFormat/>
    <w:rsid w:val="001A4F25"/>
    <w:rPr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1A4F25"/>
    <w:rPr>
      <w:rFonts w:cs="Arial"/>
      <w:b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0051"/>
    <w:pPr>
      <w:spacing w:after="0" w:line="240" w:lineRule="auto"/>
    </w:pPr>
  </w:style>
  <w:style w:type="paragraph" w:styleId="Nagwek1">
    <w:name w:val="heading 1"/>
    <w:basedOn w:val="Nagwek2"/>
    <w:next w:val="Normalny"/>
    <w:link w:val="Nagwek1Znak"/>
    <w:uiPriority w:val="9"/>
    <w:qFormat/>
    <w:rsid w:val="001A4F25"/>
    <w:pPr>
      <w:spacing w:before="360" w:after="360" w:line="360" w:lineRule="exact"/>
      <w:ind w:left="993" w:hanging="636"/>
      <w:outlineLvl w:val="0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A4F25"/>
    <w:pPr>
      <w:spacing w:after="120"/>
      <w:ind w:left="357"/>
      <w:jc w:val="center"/>
      <w:outlineLvl w:val="1"/>
    </w:pPr>
    <w:rPr>
      <w:rFonts w:cs="Arial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Numerstrony">
    <w:name w:val="page number"/>
    <w:basedOn w:val="Domylnaczcionkaakapitu"/>
    <w:rsid w:val="00590051"/>
  </w:style>
  <w:style w:type="paragraph" w:styleId="Tekstdymka">
    <w:name w:val="Balloon Text"/>
    <w:basedOn w:val="Normalny"/>
    <w:link w:val="TekstdymkaZnak"/>
    <w:uiPriority w:val="99"/>
    <w:semiHidden/>
    <w:unhideWhenUsed/>
    <w:rsid w:val="005900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051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A86C45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A1384E"/>
    <w:pPr>
      <w:jc w:val="both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1384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E6232"/>
    <w:pPr>
      <w:spacing w:after="0" w:line="240" w:lineRule="auto"/>
    </w:pPr>
    <w:rPr>
      <w:rFonts w:ascii="Calibri" w:eastAsia="Times New Roman" w:hAnsi="Calibri"/>
      <w:lang w:eastAsia="pl-PL"/>
    </w:rPr>
  </w:style>
  <w:style w:type="character" w:styleId="Hipercze">
    <w:name w:val="Hyperlink"/>
    <w:basedOn w:val="Domylnaczcionkaakapitu"/>
    <w:uiPriority w:val="99"/>
    <w:unhideWhenUsed/>
    <w:rsid w:val="002F185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1A4F25"/>
    <w:rPr>
      <w:rFonts w:cs="Arial"/>
      <w:b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A4F25"/>
    <w:rPr>
      <w:rFonts w:cs="Arial"/>
      <w:b/>
      <w:szCs w:val="24"/>
    </w:rPr>
  </w:style>
  <w:style w:type="paragraph" w:styleId="Tytu">
    <w:name w:val="Title"/>
    <w:basedOn w:val="Nagwek1"/>
    <w:next w:val="Normalny"/>
    <w:link w:val="TytuZnak"/>
    <w:uiPriority w:val="10"/>
    <w:qFormat/>
    <w:rsid w:val="001A4F25"/>
    <w:rPr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1A4F25"/>
    <w:rPr>
      <w:rFonts w:cs="Arial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5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05384-DCA2-4FFD-89F8-406846249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976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Ślaskie dla rodziny - Karta Dużej Rodziny</vt:lpstr>
    </vt:vector>
  </TitlesOfParts>
  <Company/>
  <LinksUpToDate>false</LinksUpToDate>
  <CharactersWithSpaces>6824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Ślaskie dla rodziny - Karta Dużej Rodziny</dc:title>
  <dc:subject>Warunki taryfowe oferty Ślaskie dla rodziny - Karta Dużej Rodziny</dc:subject>
  <dc:creator>Ewa Bąk</dc:creator>
  <cp:lastModifiedBy>Bąk Ewa</cp:lastModifiedBy>
  <cp:revision>13</cp:revision>
  <cp:lastPrinted>2016-06-10T13:39:00Z</cp:lastPrinted>
  <dcterms:created xsi:type="dcterms:W3CDTF">2016-06-10T07:39:00Z</dcterms:created>
  <dcterms:modified xsi:type="dcterms:W3CDTF">2016-06-13T12:54:00Z</dcterms:modified>
</cp:coreProperties>
</file>